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3F015E" w14:textId="77777777" w:rsidR="00280050" w:rsidRPr="00694EF4" w:rsidRDefault="003F672B" w:rsidP="0012376B">
      <w:pPr>
        <w:pStyle w:val="Title"/>
        <w:rPr>
          <w:b w:val="0"/>
        </w:rPr>
      </w:pPr>
      <w:r w:rsidRPr="00694EF4">
        <w:rPr>
          <w:b w:val="0"/>
        </w:rPr>
        <w:t>STATUTORY REVIEW of the Gene Technology Act 2000 and the Gene Technology Agreement</w:t>
      </w:r>
    </w:p>
    <w:p w14:paraId="2D242DD2" w14:textId="77777777" w:rsidR="003F672B" w:rsidRDefault="003F672B">
      <w:r>
        <w:br w:type="page"/>
      </w:r>
    </w:p>
    <w:p w14:paraId="5FFE8D61" w14:textId="77777777" w:rsidR="003F672B" w:rsidRPr="00802A9E" w:rsidRDefault="003F672B" w:rsidP="00802A9E">
      <w:r w:rsidRPr="00802A9E">
        <w:lastRenderedPageBreak/>
        <w:t>Letter to the Minister</w:t>
      </w:r>
    </w:p>
    <w:p w14:paraId="4382B601" w14:textId="77777777" w:rsidR="003F672B" w:rsidRPr="00802A9E" w:rsidRDefault="003F672B" w:rsidP="00802A9E">
      <w:r w:rsidRPr="00802A9E">
        <w:t>The Chair</w:t>
      </w:r>
    </w:p>
    <w:p w14:paraId="088D1032" w14:textId="77777777" w:rsidR="003F672B" w:rsidRPr="00802A9E" w:rsidRDefault="003F672B" w:rsidP="00802A9E">
      <w:r w:rsidRPr="00802A9E">
        <w:t>Gene Technology Ministerial Council</w:t>
      </w:r>
    </w:p>
    <w:p w14:paraId="26B2FAC0" w14:textId="77777777" w:rsidR="003F672B" w:rsidRPr="00802A9E" w:rsidRDefault="003F672B" w:rsidP="00802A9E">
      <w:r w:rsidRPr="00802A9E">
        <w:t>Dear Minister</w:t>
      </w:r>
    </w:p>
    <w:p w14:paraId="3B4A4E26" w14:textId="77777777" w:rsidR="003F672B" w:rsidRPr="00802A9E" w:rsidRDefault="003F672B" w:rsidP="00802A9E">
      <w:r w:rsidRPr="00802A9E">
        <w:t>As members of the Independent Review of the Gene Technology Act 2000 we are pleased to submit our report to you as Chair of the Gene Technology Ministerial Council.</w:t>
      </w:r>
    </w:p>
    <w:p w14:paraId="2CA4DCB3" w14:textId="77777777" w:rsidR="003F672B" w:rsidRPr="00802A9E" w:rsidRDefault="003F672B" w:rsidP="00802A9E">
      <w:r w:rsidRPr="00802A9E">
        <w:t xml:space="preserve">In summary, we believe that the Act and the national regulatory scheme have worked well over the last five years, and no major changes are required. We have recommended </w:t>
      </w:r>
      <w:proofErr w:type="gramStart"/>
      <w:r w:rsidRPr="00802A9E">
        <w:t>a number of</w:t>
      </w:r>
      <w:proofErr w:type="gramEnd"/>
      <w:r w:rsidRPr="00802A9E">
        <w:t xml:space="preserve"> changes intended to improve the operation of the Act at the margin.</w:t>
      </w:r>
    </w:p>
    <w:p w14:paraId="4BB39126" w14:textId="77777777" w:rsidR="003F672B" w:rsidRPr="00802A9E" w:rsidRDefault="003F672B" w:rsidP="00802A9E">
      <w:r w:rsidRPr="00802A9E">
        <w:t>We would like to thank all those who took part in the Review, either by providing submissions or other information to us or by taking part in consultations.</w:t>
      </w:r>
    </w:p>
    <w:p w14:paraId="42D43BA4" w14:textId="77777777" w:rsidR="003F672B" w:rsidRPr="00802A9E" w:rsidRDefault="003F672B" w:rsidP="00802A9E">
      <w:r w:rsidRPr="00802A9E">
        <w:t>We commend the report to you and your Ministerial colleagues.</w:t>
      </w:r>
    </w:p>
    <w:p w14:paraId="6300DE70" w14:textId="77777777" w:rsidR="003F672B" w:rsidRPr="00802A9E" w:rsidRDefault="003F672B" w:rsidP="00802A9E">
      <w:r w:rsidRPr="00802A9E">
        <w:t xml:space="preserve">Yours sincerely, Susan </w:t>
      </w:r>
      <w:proofErr w:type="spellStart"/>
      <w:r w:rsidRPr="00802A9E">
        <w:t>Timbs</w:t>
      </w:r>
      <w:proofErr w:type="spellEnd"/>
      <w:r w:rsidRPr="00802A9E">
        <w:t xml:space="preserve"> – Chair, Kathryn Adams – Member, W Murray Rodgers – Member.</w:t>
      </w:r>
    </w:p>
    <w:p w14:paraId="3362630D" w14:textId="77777777" w:rsidR="003F672B" w:rsidRPr="00694EF4" w:rsidRDefault="003F672B">
      <w:pPr>
        <w:rPr>
          <w:rFonts w:asciiTheme="minorHAnsi" w:hAnsiTheme="minorHAnsi" w:cstheme="minorHAnsi"/>
        </w:rPr>
      </w:pPr>
      <w:r w:rsidRPr="00694EF4">
        <w:rPr>
          <w:rFonts w:asciiTheme="minorHAnsi" w:hAnsiTheme="minorHAnsi" w:cstheme="minorHAnsi"/>
        </w:rPr>
        <w:br w:type="page"/>
      </w:r>
    </w:p>
    <w:sdt>
      <w:sdtPr>
        <w:id w:val="1150868467"/>
        <w:docPartObj>
          <w:docPartGallery w:val="Table of Contents"/>
          <w:docPartUnique/>
        </w:docPartObj>
      </w:sdtPr>
      <w:sdtEndPr>
        <w:rPr>
          <w:rFonts w:ascii="Arial" w:eastAsiaTheme="minorHAnsi" w:hAnsi="Arial" w:cs="Times New Roman"/>
          <w:b/>
          <w:bCs/>
          <w:noProof/>
          <w:color w:val="auto"/>
          <w:sz w:val="22"/>
          <w:szCs w:val="24"/>
          <w:lang w:val="en-AU"/>
        </w:rPr>
      </w:sdtEndPr>
      <w:sdtContent>
        <w:p w14:paraId="35ED3920" w14:textId="2E2A26C7" w:rsidR="00DD3ADB" w:rsidRPr="00C325D0" w:rsidRDefault="00DD3ADB">
          <w:pPr>
            <w:pStyle w:val="TOCHeading"/>
            <w:rPr>
              <w:rStyle w:val="Heading1Char"/>
            </w:rPr>
          </w:pPr>
          <w:r w:rsidRPr="00C325D0">
            <w:rPr>
              <w:rStyle w:val="Heading1Char"/>
            </w:rPr>
            <w:t>Contents</w:t>
          </w:r>
        </w:p>
        <w:p w14:paraId="3379D8BB" w14:textId="63DDFCAC" w:rsidR="00D05FE3" w:rsidRDefault="005B0F51">
          <w:pPr>
            <w:pStyle w:val="TOC1"/>
            <w:tabs>
              <w:tab w:val="right" w:leader="dot" w:pos="9016"/>
            </w:tabs>
            <w:rPr>
              <w:rFonts w:asciiTheme="minorHAnsi" w:eastAsiaTheme="minorEastAsia" w:hAnsiTheme="minorHAnsi" w:cstheme="minorBidi"/>
              <w:noProof/>
              <w:szCs w:val="22"/>
              <w:lang w:eastAsia="en-AU"/>
            </w:rPr>
          </w:pPr>
          <w:r>
            <w:fldChar w:fldCharType="begin"/>
          </w:r>
          <w:r>
            <w:instrText xml:space="preserve"> TOC \o "1-2" \h \z \u </w:instrText>
          </w:r>
          <w:r>
            <w:fldChar w:fldCharType="separate"/>
          </w:r>
          <w:hyperlink w:anchor="_Toc95326234" w:history="1">
            <w:r w:rsidR="00D05FE3" w:rsidRPr="00F66855">
              <w:rPr>
                <w:rStyle w:val="Hyperlink"/>
                <w:noProof/>
              </w:rPr>
              <w:t>List of tables</w:t>
            </w:r>
            <w:r w:rsidR="00D05FE3">
              <w:rPr>
                <w:noProof/>
                <w:webHidden/>
              </w:rPr>
              <w:tab/>
            </w:r>
            <w:r w:rsidR="00D05FE3">
              <w:rPr>
                <w:noProof/>
                <w:webHidden/>
              </w:rPr>
              <w:fldChar w:fldCharType="begin"/>
            </w:r>
            <w:r w:rsidR="00D05FE3">
              <w:rPr>
                <w:noProof/>
                <w:webHidden/>
              </w:rPr>
              <w:instrText xml:space="preserve"> PAGEREF _Toc95326234 \h </w:instrText>
            </w:r>
            <w:r w:rsidR="00D05FE3">
              <w:rPr>
                <w:noProof/>
                <w:webHidden/>
              </w:rPr>
            </w:r>
            <w:r w:rsidR="00D05FE3">
              <w:rPr>
                <w:noProof/>
                <w:webHidden/>
              </w:rPr>
              <w:fldChar w:fldCharType="separate"/>
            </w:r>
            <w:r w:rsidR="00D05FE3">
              <w:rPr>
                <w:noProof/>
                <w:webHidden/>
              </w:rPr>
              <w:t>vi</w:t>
            </w:r>
            <w:r w:rsidR="00D05FE3">
              <w:rPr>
                <w:noProof/>
                <w:webHidden/>
              </w:rPr>
              <w:fldChar w:fldCharType="end"/>
            </w:r>
          </w:hyperlink>
        </w:p>
        <w:p w14:paraId="647C4078" w14:textId="42185DEC" w:rsidR="00D05FE3" w:rsidRDefault="00D05FE3">
          <w:pPr>
            <w:pStyle w:val="TOC1"/>
            <w:tabs>
              <w:tab w:val="right" w:leader="dot" w:pos="9016"/>
            </w:tabs>
            <w:rPr>
              <w:rFonts w:asciiTheme="minorHAnsi" w:eastAsiaTheme="minorEastAsia" w:hAnsiTheme="minorHAnsi" w:cstheme="minorBidi"/>
              <w:noProof/>
              <w:szCs w:val="22"/>
              <w:lang w:eastAsia="en-AU"/>
            </w:rPr>
          </w:pPr>
          <w:hyperlink w:anchor="_Toc95326235" w:history="1">
            <w:r w:rsidRPr="00F66855">
              <w:rPr>
                <w:rStyle w:val="Hyperlink"/>
                <w:noProof/>
              </w:rPr>
              <w:t>List of figures</w:t>
            </w:r>
            <w:r>
              <w:rPr>
                <w:noProof/>
                <w:webHidden/>
              </w:rPr>
              <w:tab/>
            </w:r>
            <w:r>
              <w:rPr>
                <w:noProof/>
                <w:webHidden/>
              </w:rPr>
              <w:fldChar w:fldCharType="begin"/>
            </w:r>
            <w:r>
              <w:rPr>
                <w:noProof/>
                <w:webHidden/>
              </w:rPr>
              <w:instrText xml:space="preserve"> PAGEREF _Toc95326235 \h </w:instrText>
            </w:r>
            <w:r>
              <w:rPr>
                <w:noProof/>
                <w:webHidden/>
              </w:rPr>
            </w:r>
            <w:r>
              <w:rPr>
                <w:noProof/>
                <w:webHidden/>
              </w:rPr>
              <w:fldChar w:fldCharType="separate"/>
            </w:r>
            <w:r>
              <w:rPr>
                <w:noProof/>
                <w:webHidden/>
              </w:rPr>
              <w:t>vi</w:t>
            </w:r>
            <w:r>
              <w:rPr>
                <w:noProof/>
                <w:webHidden/>
              </w:rPr>
              <w:fldChar w:fldCharType="end"/>
            </w:r>
          </w:hyperlink>
        </w:p>
        <w:p w14:paraId="0DC220D3" w14:textId="3FC2F0D6" w:rsidR="00D05FE3" w:rsidRDefault="00D05FE3">
          <w:pPr>
            <w:pStyle w:val="TOC1"/>
            <w:tabs>
              <w:tab w:val="right" w:leader="dot" w:pos="9016"/>
            </w:tabs>
            <w:rPr>
              <w:rFonts w:asciiTheme="minorHAnsi" w:eastAsiaTheme="minorEastAsia" w:hAnsiTheme="minorHAnsi" w:cstheme="minorBidi"/>
              <w:noProof/>
              <w:szCs w:val="22"/>
              <w:lang w:eastAsia="en-AU"/>
            </w:rPr>
          </w:pPr>
          <w:hyperlink w:anchor="_Toc95326236" w:history="1">
            <w:r w:rsidRPr="00F66855">
              <w:rPr>
                <w:rStyle w:val="Hyperlink"/>
                <w:noProof/>
              </w:rPr>
              <w:t>List of acronyms and abbreviations</w:t>
            </w:r>
            <w:r>
              <w:rPr>
                <w:noProof/>
                <w:webHidden/>
              </w:rPr>
              <w:tab/>
            </w:r>
            <w:r>
              <w:rPr>
                <w:noProof/>
                <w:webHidden/>
              </w:rPr>
              <w:fldChar w:fldCharType="begin"/>
            </w:r>
            <w:r>
              <w:rPr>
                <w:noProof/>
                <w:webHidden/>
              </w:rPr>
              <w:instrText xml:space="preserve"> PAGEREF _Toc95326236 \h </w:instrText>
            </w:r>
            <w:r>
              <w:rPr>
                <w:noProof/>
                <w:webHidden/>
              </w:rPr>
            </w:r>
            <w:r>
              <w:rPr>
                <w:noProof/>
                <w:webHidden/>
              </w:rPr>
              <w:fldChar w:fldCharType="separate"/>
            </w:r>
            <w:r>
              <w:rPr>
                <w:noProof/>
                <w:webHidden/>
              </w:rPr>
              <w:t>vii</w:t>
            </w:r>
            <w:r>
              <w:rPr>
                <w:noProof/>
                <w:webHidden/>
              </w:rPr>
              <w:fldChar w:fldCharType="end"/>
            </w:r>
          </w:hyperlink>
        </w:p>
        <w:p w14:paraId="6B720156" w14:textId="0B93A0F7" w:rsidR="00D05FE3" w:rsidRDefault="00D05FE3">
          <w:pPr>
            <w:pStyle w:val="TOC1"/>
            <w:tabs>
              <w:tab w:val="right" w:leader="dot" w:pos="9016"/>
            </w:tabs>
            <w:rPr>
              <w:rFonts w:asciiTheme="minorHAnsi" w:eastAsiaTheme="minorEastAsia" w:hAnsiTheme="minorHAnsi" w:cstheme="minorBidi"/>
              <w:noProof/>
              <w:szCs w:val="22"/>
              <w:lang w:eastAsia="en-AU"/>
            </w:rPr>
          </w:pPr>
          <w:hyperlink w:anchor="_Toc95326237" w:history="1">
            <w:r w:rsidRPr="00F66855">
              <w:rPr>
                <w:rStyle w:val="Hyperlink"/>
                <w:noProof/>
              </w:rPr>
              <w:t>Executive summary</w:t>
            </w:r>
            <w:r>
              <w:rPr>
                <w:noProof/>
                <w:webHidden/>
              </w:rPr>
              <w:tab/>
            </w:r>
            <w:r>
              <w:rPr>
                <w:noProof/>
                <w:webHidden/>
              </w:rPr>
              <w:fldChar w:fldCharType="begin"/>
            </w:r>
            <w:r>
              <w:rPr>
                <w:noProof/>
                <w:webHidden/>
              </w:rPr>
              <w:instrText xml:space="preserve"> PAGEREF _Toc95326237 \h </w:instrText>
            </w:r>
            <w:r>
              <w:rPr>
                <w:noProof/>
                <w:webHidden/>
              </w:rPr>
            </w:r>
            <w:r>
              <w:rPr>
                <w:noProof/>
                <w:webHidden/>
              </w:rPr>
              <w:fldChar w:fldCharType="separate"/>
            </w:r>
            <w:r>
              <w:rPr>
                <w:noProof/>
                <w:webHidden/>
              </w:rPr>
              <w:t>2</w:t>
            </w:r>
            <w:r>
              <w:rPr>
                <w:noProof/>
                <w:webHidden/>
              </w:rPr>
              <w:fldChar w:fldCharType="end"/>
            </w:r>
          </w:hyperlink>
        </w:p>
        <w:p w14:paraId="0FAA3369" w14:textId="4D1EEE05" w:rsidR="00D05FE3" w:rsidRDefault="00D05FE3">
          <w:pPr>
            <w:pStyle w:val="TOC2"/>
            <w:tabs>
              <w:tab w:val="right" w:leader="dot" w:pos="9016"/>
            </w:tabs>
            <w:rPr>
              <w:rFonts w:asciiTheme="minorHAnsi" w:eastAsiaTheme="minorEastAsia" w:hAnsiTheme="minorHAnsi" w:cstheme="minorBidi"/>
              <w:noProof/>
              <w:szCs w:val="22"/>
              <w:lang w:eastAsia="en-AU"/>
            </w:rPr>
          </w:pPr>
          <w:hyperlink w:anchor="_Toc95326238" w:history="1">
            <w:r w:rsidRPr="00F66855">
              <w:rPr>
                <w:rStyle w:val="Hyperlink"/>
                <w:noProof/>
              </w:rPr>
              <w:t>Background</w:t>
            </w:r>
            <w:r>
              <w:rPr>
                <w:noProof/>
                <w:webHidden/>
              </w:rPr>
              <w:tab/>
            </w:r>
            <w:r>
              <w:rPr>
                <w:noProof/>
                <w:webHidden/>
              </w:rPr>
              <w:fldChar w:fldCharType="begin"/>
            </w:r>
            <w:r>
              <w:rPr>
                <w:noProof/>
                <w:webHidden/>
              </w:rPr>
              <w:instrText xml:space="preserve"> PAGEREF _Toc95326238 \h </w:instrText>
            </w:r>
            <w:r>
              <w:rPr>
                <w:noProof/>
                <w:webHidden/>
              </w:rPr>
            </w:r>
            <w:r>
              <w:rPr>
                <w:noProof/>
                <w:webHidden/>
              </w:rPr>
              <w:fldChar w:fldCharType="separate"/>
            </w:r>
            <w:r>
              <w:rPr>
                <w:noProof/>
                <w:webHidden/>
              </w:rPr>
              <w:t>2</w:t>
            </w:r>
            <w:r>
              <w:rPr>
                <w:noProof/>
                <w:webHidden/>
              </w:rPr>
              <w:fldChar w:fldCharType="end"/>
            </w:r>
          </w:hyperlink>
        </w:p>
        <w:p w14:paraId="0F82FDAB" w14:textId="0BA265D2" w:rsidR="00D05FE3" w:rsidRDefault="00D05FE3">
          <w:pPr>
            <w:pStyle w:val="TOC2"/>
            <w:tabs>
              <w:tab w:val="right" w:leader="dot" w:pos="9016"/>
            </w:tabs>
            <w:rPr>
              <w:rFonts w:asciiTheme="minorHAnsi" w:eastAsiaTheme="minorEastAsia" w:hAnsiTheme="minorHAnsi" w:cstheme="minorBidi"/>
              <w:noProof/>
              <w:szCs w:val="22"/>
              <w:lang w:eastAsia="en-AU"/>
            </w:rPr>
          </w:pPr>
          <w:hyperlink w:anchor="_Toc95326239" w:history="1">
            <w:r w:rsidRPr="00F66855">
              <w:rPr>
                <w:rStyle w:val="Hyperlink"/>
                <w:noProof/>
              </w:rPr>
              <w:t>Conduct of the Review</w:t>
            </w:r>
            <w:r>
              <w:rPr>
                <w:noProof/>
                <w:webHidden/>
              </w:rPr>
              <w:tab/>
            </w:r>
            <w:r>
              <w:rPr>
                <w:noProof/>
                <w:webHidden/>
              </w:rPr>
              <w:fldChar w:fldCharType="begin"/>
            </w:r>
            <w:r>
              <w:rPr>
                <w:noProof/>
                <w:webHidden/>
              </w:rPr>
              <w:instrText xml:space="preserve"> PAGEREF _Toc95326239 \h </w:instrText>
            </w:r>
            <w:r>
              <w:rPr>
                <w:noProof/>
                <w:webHidden/>
              </w:rPr>
            </w:r>
            <w:r>
              <w:rPr>
                <w:noProof/>
                <w:webHidden/>
              </w:rPr>
              <w:fldChar w:fldCharType="separate"/>
            </w:r>
            <w:r>
              <w:rPr>
                <w:noProof/>
                <w:webHidden/>
              </w:rPr>
              <w:t>2</w:t>
            </w:r>
            <w:r>
              <w:rPr>
                <w:noProof/>
                <w:webHidden/>
              </w:rPr>
              <w:fldChar w:fldCharType="end"/>
            </w:r>
          </w:hyperlink>
        </w:p>
        <w:p w14:paraId="2F4A3747" w14:textId="08150979" w:rsidR="00D05FE3" w:rsidRDefault="00D05FE3">
          <w:pPr>
            <w:pStyle w:val="TOC2"/>
            <w:tabs>
              <w:tab w:val="right" w:leader="dot" w:pos="9016"/>
            </w:tabs>
            <w:rPr>
              <w:rFonts w:asciiTheme="minorHAnsi" w:eastAsiaTheme="minorEastAsia" w:hAnsiTheme="minorHAnsi" w:cstheme="minorBidi"/>
              <w:noProof/>
              <w:szCs w:val="22"/>
              <w:lang w:eastAsia="en-AU"/>
            </w:rPr>
          </w:pPr>
          <w:hyperlink w:anchor="_Toc95326240" w:history="1">
            <w:r w:rsidRPr="00F66855">
              <w:rPr>
                <w:rStyle w:val="Hyperlink"/>
                <w:noProof/>
              </w:rPr>
              <w:t>Scope of the Act</w:t>
            </w:r>
            <w:r>
              <w:rPr>
                <w:noProof/>
                <w:webHidden/>
              </w:rPr>
              <w:tab/>
            </w:r>
            <w:r>
              <w:rPr>
                <w:noProof/>
                <w:webHidden/>
              </w:rPr>
              <w:fldChar w:fldCharType="begin"/>
            </w:r>
            <w:r>
              <w:rPr>
                <w:noProof/>
                <w:webHidden/>
              </w:rPr>
              <w:instrText xml:space="preserve"> PAGEREF _Toc95326240 \h </w:instrText>
            </w:r>
            <w:r>
              <w:rPr>
                <w:noProof/>
                <w:webHidden/>
              </w:rPr>
            </w:r>
            <w:r>
              <w:rPr>
                <w:noProof/>
                <w:webHidden/>
              </w:rPr>
              <w:fldChar w:fldCharType="separate"/>
            </w:r>
            <w:r>
              <w:rPr>
                <w:noProof/>
                <w:webHidden/>
              </w:rPr>
              <w:t>2</w:t>
            </w:r>
            <w:r>
              <w:rPr>
                <w:noProof/>
                <w:webHidden/>
              </w:rPr>
              <w:fldChar w:fldCharType="end"/>
            </w:r>
          </w:hyperlink>
        </w:p>
        <w:p w14:paraId="4D37746F" w14:textId="0727EE87" w:rsidR="00D05FE3" w:rsidRDefault="00D05FE3">
          <w:pPr>
            <w:pStyle w:val="TOC2"/>
            <w:tabs>
              <w:tab w:val="right" w:leader="dot" w:pos="9016"/>
            </w:tabs>
            <w:rPr>
              <w:rFonts w:asciiTheme="minorHAnsi" w:eastAsiaTheme="minorEastAsia" w:hAnsiTheme="minorHAnsi" w:cstheme="minorBidi"/>
              <w:noProof/>
              <w:szCs w:val="22"/>
              <w:lang w:eastAsia="en-AU"/>
            </w:rPr>
          </w:pPr>
          <w:hyperlink w:anchor="_Toc95326241" w:history="1">
            <w:r w:rsidRPr="00F66855">
              <w:rPr>
                <w:rStyle w:val="Hyperlink"/>
                <w:noProof/>
              </w:rPr>
              <w:t>Act achieving its object</w:t>
            </w:r>
            <w:r>
              <w:rPr>
                <w:noProof/>
                <w:webHidden/>
              </w:rPr>
              <w:tab/>
            </w:r>
            <w:r>
              <w:rPr>
                <w:noProof/>
                <w:webHidden/>
              </w:rPr>
              <w:fldChar w:fldCharType="begin"/>
            </w:r>
            <w:r>
              <w:rPr>
                <w:noProof/>
                <w:webHidden/>
              </w:rPr>
              <w:instrText xml:space="preserve"> PAGEREF _Toc95326241 \h </w:instrText>
            </w:r>
            <w:r>
              <w:rPr>
                <w:noProof/>
                <w:webHidden/>
              </w:rPr>
            </w:r>
            <w:r>
              <w:rPr>
                <w:noProof/>
                <w:webHidden/>
              </w:rPr>
              <w:fldChar w:fldCharType="separate"/>
            </w:r>
            <w:r>
              <w:rPr>
                <w:noProof/>
                <w:webHidden/>
              </w:rPr>
              <w:t>2</w:t>
            </w:r>
            <w:r>
              <w:rPr>
                <w:noProof/>
                <w:webHidden/>
              </w:rPr>
              <w:fldChar w:fldCharType="end"/>
            </w:r>
          </w:hyperlink>
        </w:p>
        <w:p w14:paraId="637AB7C4" w14:textId="6ABE36B8" w:rsidR="00D05FE3" w:rsidRDefault="00D05FE3">
          <w:pPr>
            <w:pStyle w:val="TOC2"/>
            <w:tabs>
              <w:tab w:val="right" w:leader="dot" w:pos="9016"/>
            </w:tabs>
            <w:rPr>
              <w:rFonts w:asciiTheme="minorHAnsi" w:eastAsiaTheme="minorEastAsia" w:hAnsiTheme="minorHAnsi" w:cstheme="minorBidi"/>
              <w:noProof/>
              <w:szCs w:val="22"/>
              <w:lang w:eastAsia="en-AU"/>
            </w:rPr>
          </w:pPr>
          <w:hyperlink w:anchor="_Toc95326242" w:history="1">
            <w:r w:rsidRPr="00F66855">
              <w:rPr>
                <w:rStyle w:val="Hyperlink"/>
                <w:noProof/>
              </w:rPr>
              <w:t>Operation of the Act</w:t>
            </w:r>
            <w:r>
              <w:rPr>
                <w:noProof/>
                <w:webHidden/>
              </w:rPr>
              <w:tab/>
            </w:r>
            <w:r>
              <w:rPr>
                <w:noProof/>
                <w:webHidden/>
              </w:rPr>
              <w:fldChar w:fldCharType="begin"/>
            </w:r>
            <w:r>
              <w:rPr>
                <w:noProof/>
                <w:webHidden/>
              </w:rPr>
              <w:instrText xml:space="preserve"> PAGEREF _Toc95326242 \h </w:instrText>
            </w:r>
            <w:r>
              <w:rPr>
                <w:noProof/>
                <w:webHidden/>
              </w:rPr>
            </w:r>
            <w:r>
              <w:rPr>
                <w:noProof/>
                <w:webHidden/>
              </w:rPr>
              <w:fldChar w:fldCharType="separate"/>
            </w:r>
            <w:r>
              <w:rPr>
                <w:noProof/>
                <w:webHidden/>
              </w:rPr>
              <w:t>3</w:t>
            </w:r>
            <w:r>
              <w:rPr>
                <w:noProof/>
                <w:webHidden/>
              </w:rPr>
              <w:fldChar w:fldCharType="end"/>
            </w:r>
          </w:hyperlink>
        </w:p>
        <w:p w14:paraId="75E8B430" w14:textId="00D0081E" w:rsidR="00D05FE3" w:rsidRDefault="00D05FE3">
          <w:pPr>
            <w:pStyle w:val="TOC2"/>
            <w:tabs>
              <w:tab w:val="right" w:leader="dot" w:pos="9016"/>
            </w:tabs>
            <w:rPr>
              <w:rFonts w:asciiTheme="minorHAnsi" w:eastAsiaTheme="minorEastAsia" w:hAnsiTheme="minorHAnsi" w:cstheme="minorBidi"/>
              <w:noProof/>
              <w:szCs w:val="22"/>
              <w:lang w:eastAsia="en-AU"/>
            </w:rPr>
          </w:pPr>
          <w:hyperlink w:anchor="_Toc95326243" w:history="1">
            <w:r w:rsidRPr="00F66855">
              <w:rPr>
                <w:rStyle w:val="Hyperlink"/>
                <w:noProof/>
              </w:rPr>
              <w:t>Regulatory burden</w:t>
            </w:r>
            <w:r>
              <w:rPr>
                <w:noProof/>
                <w:webHidden/>
              </w:rPr>
              <w:tab/>
            </w:r>
            <w:r>
              <w:rPr>
                <w:noProof/>
                <w:webHidden/>
              </w:rPr>
              <w:fldChar w:fldCharType="begin"/>
            </w:r>
            <w:r>
              <w:rPr>
                <w:noProof/>
                <w:webHidden/>
              </w:rPr>
              <w:instrText xml:space="preserve"> PAGEREF _Toc95326243 \h </w:instrText>
            </w:r>
            <w:r>
              <w:rPr>
                <w:noProof/>
                <w:webHidden/>
              </w:rPr>
            </w:r>
            <w:r>
              <w:rPr>
                <w:noProof/>
                <w:webHidden/>
              </w:rPr>
              <w:fldChar w:fldCharType="separate"/>
            </w:r>
            <w:r>
              <w:rPr>
                <w:noProof/>
                <w:webHidden/>
              </w:rPr>
              <w:t>3</w:t>
            </w:r>
            <w:r>
              <w:rPr>
                <w:noProof/>
                <w:webHidden/>
              </w:rPr>
              <w:fldChar w:fldCharType="end"/>
            </w:r>
          </w:hyperlink>
        </w:p>
        <w:p w14:paraId="7B559B68" w14:textId="1D625A66" w:rsidR="00D05FE3" w:rsidRDefault="00D05FE3">
          <w:pPr>
            <w:pStyle w:val="TOC2"/>
            <w:tabs>
              <w:tab w:val="right" w:leader="dot" w:pos="9016"/>
            </w:tabs>
            <w:rPr>
              <w:rFonts w:asciiTheme="minorHAnsi" w:eastAsiaTheme="minorEastAsia" w:hAnsiTheme="minorHAnsi" w:cstheme="minorBidi"/>
              <w:noProof/>
              <w:szCs w:val="22"/>
              <w:lang w:eastAsia="en-AU"/>
            </w:rPr>
          </w:pPr>
          <w:hyperlink w:anchor="_Toc95326244" w:history="1">
            <w:r w:rsidRPr="00F66855">
              <w:rPr>
                <w:rStyle w:val="Hyperlink"/>
                <w:noProof/>
              </w:rPr>
              <w:t>Interface with other systems</w:t>
            </w:r>
            <w:r>
              <w:rPr>
                <w:noProof/>
                <w:webHidden/>
              </w:rPr>
              <w:tab/>
            </w:r>
            <w:r>
              <w:rPr>
                <w:noProof/>
                <w:webHidden/>
              </w:rPr>
              <w:fldChar w:fldCharType="begin"/>
            </w:r>
            <w:r>
              <w:rPr>
                <w:noProof/>
                <w:webHidden/>
              </w:rPr>
              <w:instrText xml:space="preserve"> PAGEREF _Toc95326244 \h </w:instrText>
            </w:r>
            <w:r>
              <w:rPr>
                <w:noProof/>
                <w:webHidden/>
              </w:rPr>
            </w:r>
            <w:r>
              <w:rPr>
                <w:noProof/>
                <w:webHidden/>
              </w:rPr>
              <w:fldChar w:fldCharType="separate"/>
            </w:r>
            <w:r>
              <w:rPr>
                <w:noProof/>
                <w:webHidden/>
              </w:rPr>
              <w:t>3</w:t>
            </w:r>
            <w:r>
              <w:rPr>
                <w:noProof/>
                <w:webHidden/>
              </w:rPr>
              <w:fldChar w:fldCharType="end"/>
            </w:r>
          </w:hyperlink>
        </w:p>
        <w:p w14:paraId="1E37DC4B" w14:textId="76F7F539" w:rsidR="00D05FE3" w:rsidRDefault="00D05FE3">
          <w:pPr>
            <w:pStyle w:val="TOC2"/>
            <w:tabs>
              <w:tab w:val="right" w:leader="dot" w:pos="9016"/>
            </w:tabs>
            <w:rPr>
              <w:rFonts w:asciiTheme="minorHAnsi" w:eastAsiaTheme="minorEastAsia" w:hAnsiTheme="minorHAnsi" w:cstheme="minorBidi"/>
              <w:noProof/>
              <w:szCs w:val="22"/>
              <w:lang w:eastAsia="en-AU"/>
            </w:rPr>
          </w:pPr>
          <w:hyperlink w:anchor="_Toc95326245" w:history="1">
            <w:r w:rsidRPr="00F66855">
              <w:rPr>
                <w:rStyle w:val="Hyperlink"/>
                <w:noProof/>
              </w:rPr>
              <w:t>Changing circumstances</w:t>
            </w:r>
            <w:r>
              <w:rPr>
                <w:noProof/>
                <w:webHidden/>
              </w:rPr>
              <w:tab/>
            </w:r>
            <w:r>
              <w:rPr>
                <w:noProof/>
                <w:webHidden/>
              </w:rPr>
              <w:fldChar w:fldCharType="begin"/>
            </w:r>
            <w:r>
              <w:rPr>
                <w:noProof/>
                <w:webHidden/>
              </w:rPr>
              <w:instrText xml:space="preserve"> PAGEREF _Toc95326245 \h </w:instrText>
            </w:r>
            <w:r>
              <w:rPr>
                <w:noProof/>
                <w:webHidden/>
              </w:rPr>
            </w:r>
            <w:r>
              <w:rPr>
                <w:noProof/>
                <w:webHidden/>
              </w:rPr>
              <w:fldChar w:fldCharType="separate"/>
            </w:r>
            <w:r>
              <w:rPr>
                <w:noProof/>
                <w:webHidden/>
              </w:rPr>
              <w:t>4</w:t>
            </w:r>
            <w:r>
              <w:rPr>
                <w:noProof/>
                <w:webHidden/>
              </w:rPr>
              <w:fldChar w:fldCharType="end"/>
            </w:r>
          </w:hyperlink>
        </w:p>
        <w:p w14:paraId="600AF84B" w14:textId="5B3635E7" w:rsidR="00D05FE3" w:rsidRDefault="00D05FE3">
          <w:pPr>
            <w:pStyle w:val="TOC2"/>
            <w:tabs>
              <w:tab w:val="right" w:leader="dot" w:pos="9016"/>
            </w:tabs>
            <w:rPr>
              <w:rFonts w:asciiTheme="minorHAnsi" w:eastAsiaTheme="minorEastAsia" w:hAnsiTheme="minorHAnsi" w:cstheme="minorBidi"/>
              <w:noProof/>
              <w:szCs w:val="22"/>
              <w:lang w:eastAsia="en-AU"/>
            </w:rPr>
          </w:pPr>
          <w:hyperlink w:anchor="_Toc95326246" w:history="1">
            <w:r w:rsidRPr="00F66855">
              <w:rPr>
                <w:rStyle w:val="Hyperlink"/>
                <w:noProof/>
              </w:rPr>
              <w:t>The Inter-governmental Agreement</w:t>
            </w:r>
            <w:r>
              <w:rPr>
                <w:noProof/>
                <w:webHidden/>
              </w:rPr>
              <w:tab/>
            </w:r>
            <w:r>
              <w:rPr>
                <w:noProof/>
                <w:webHidden/>
              </w:rPr>
              <w:fldChar w:fldCharType="begin"/>
            </w:r>
            <w:r>
              <w:rPr>
                <w:noProof/>
                <w:webHidden/>
              </w:rPr>
              <w:instrText xml:space="preserve"> PAGEREF _Toc95326246 \h </w:instrText>
            </w:r>
            <w:r>
              <w:rPr>
                <w:noProof/>
                <w:webHidden/>
              </w:rPr>
            </w:r>
            <w:r>
              <w:rPr>
                <w:noProof/>
                <w:webHidden/>
              </w:rPr>
              <w:fldChar w:fldCharType="separate"/>
            </w:r>
            <w:r>
              <w:rPr>
                <w:noProof/>
                <w:webHidden/>
              </w:rPr>
              <w:t>4</w:t>
            </w:r>
            <w:r>
              <w:rPr>
                <w:noProof/>
                <w:webHidden/>
              </w:rPr>
              <w:fldChar w:fldCharType="end"/>
            </w:r>
          </w:hyperlink>
        </w:p>
        <w:p w14:paraId="1FE4474A" w14:textId="60783053" w:rsidR="00D05FE3" w:rsidRDefault="00D05FE3">
          <w:pPr>
            <w:pStyle w:val="TOC1"/>
            <w:tabs>
              <w:tab w:val="right" w:leader="dot" w:pos="9016"/>
            </w:tabs>
            <w:rPr>
              <w:rFonts w:asciiTheme="minorHAnsi" w:eastAsiaTheme="minorEastAsia" w:hAnsiTheme="minorHAnsi" w:cstheme="minorBidi"/>
              <w:noProof/>
              <w:szCs w:val="22"/>
              <w:lang w:eastAsia="en-AU"/>
            </w:rPr>
          </w:pPr>
          <w:hyperlink w:anchor="_Toc95326247" w:history="1">
            <w:r w:rsidRPr="00F66855">
              <w:rPr>
                <w:rStyle w:val="Hyperlink"/>
                <w:noProof/>
              </w:rPr>
              <w:t>List of recommendations</w:t>
            </w:r>
            <w:r>
              <w:rPr>
                <w:noProof/>
                <w:webHidden/>
              </w:rPr>
              <w:tab/>
            </w:r>
            <w:r>
              <w:rPr>
                <w:noProof/>
                <w:webHidden/>
              </w:rPr>
              <w:fldChar w:fldCharType="begin"/>
            </w:r>
            <w:r>
              <w:rPr>
                <w:noProof/>
                <w:webHidden/>
              </w:rPr>
              <w:instrText xml:space="preserve"> PAGEREF _Toc95326247 \h </w:instrText>
            </w:r>
            <w:r>
              <w:rPr>
                <w:noProof/>
                <w:webHidden/>
              </w:rPr>
            </w:r>
            <w:r>
              <w:rPr>
                <w:noProof/>
                <w:webHidden/>
              </w:rPr>
              <w:fldChar w:fldCharType="separate"/>
            </w:r>
            <w:r>
              <w:rPr>
                <w:noProof/>
                <w:webHidden/>
              </w:rPr>
              <w:t>5</w:t>
            </w:r>
            <w:r>
              <w:rPr>
                <w:noProof/>
                <w:webHidden/>
              </w:rPr>
              <w:fldChar w:fldCharType="end"/>
            </w:r>
          </w:hyperlink>
        </w:p>
        <w:p w14:paraId="138FA6E5" w14:textId="7130396D" w:rsidR="00D05FE3" w:rsidRDefault="00D05FE3">
          <w:pPr>
            <w:pStyle w:val="TOC2"/>
            <w:tabs>
              <w:tab w:val="right" w:leader="dot" w:pos="9016"/>
            </w:tabs>
            <w:rPr>
              <w:rFonts w:asciiTheme="minorHAnsi" w:eastAsiaTheme="minorEastAsia" w:hAnsiTheme="minorHAnsi" w:cstheme="minorBidi"/>
              <w:noProof/>
              <w:szCs w:val="22"/>
              <w:lang w:eastAsia="en-AU"/>
            </w:rPr>
          </w:pPr>
          <w:hyperlink w:anchor="_Toc95326248" w:history="1">
            <w:r w:rsidRPr="00F66855">
              <w:rPr>
                <w:rStyle w:val="Hyperlink"/>
                <w:noProof/>
              </w:rPr>
              <w:t>Chapter Three: Scope of the Act (Term of Reference 1)</w:t>
            </w:r>
            <w:r>
              <w:rPr>
                <w:noProof/>
                <w:webHidden/>
              </w:rPr>
              <w:tab/>
            </w:r>
            <w:r>
              <w:rPr>
                <w:noProof/>
                <w:webHidden/>
              </w:rPr>
              <w:fldChar w:fldCharType="begin"/>
            </w:r>
            <w:r>
              <w:rPr>
                <w:noProof/>
                <w:webHidden/>
              </w:rPr>
              <w:instrText xml:space="preserve"> PAGEREF _Toc95326248 \h </w:instrText>
            </w:r>
            <w:r>
              <w:rPr>
                <w:noProof/>
                <w:webHidden/>
              </w:rPr>
            </w:r>
            <w:r>
              <w:rPr>
                <w:noProof/>
                <w:webHidden/>
              </w:rPr>
              <w:fldChar w:fldCharType="separate"/>
            </w:r>
            <w:r>
              <w:rPr>
                <w:noProof/>
                <w:webHidden/>
              </w:rPr>
              <w:t>5</w:t>
            </w:r>
            <w:r>
              <w:rPr>
                <w:noProof/>
                <w:webHidden/>
              </w:rPr>
              <w:fldChar w:fldCharType="end"/>
            </w:r>
          </w:hyperlink>
        </w:p>
        <w:p w14:paraId="09025DD6" w14:textId="733BA9F5" w:rsidR="00D05FE3" w:rsidRDefault="00D05FE3">
          <w:pPr>
            <w:pStyle w:val="TOC2"/>
            <w:tabs>
              <w:tab w:val="right" w:leader="dot" w:pos="9016"/>
            </w:tabs>
            <w:rPr>
              <w:rFonts w:asciiTheme="minorHAnsi" w:eastAsiaTheme="minorEastAsia" w:hAnsiTheme="minorHAnsi" w:cstheme="minorBidi"/>
              <w:noProof/>
              <w:szCs w:val="22"/>
              <w:lang w:eastAsia="en-AU"/>
            </w:rPr>
          </w:pPr>
          <w:hyperlink w:anchor="_Toc95326249" w:history="1">
            <w:r w:rsidRPr="00F66855">
              <w:rPr>
                <w:rStyle w:val="Hyperlink"/>
                <w:noProof/>
              </w:rPr>
              <w:t>Chapter Four: Act Achieving Objects (Term of Reference 2)</w:t>
            </w:r>
            <w:r>
              <w:rPr>
                <w:noProof/>
                <w:webHidden/>
              </w:rPr>
              <w:tab/>
            </w:r>
            <w:r>
              <w:rPr>
                <w:noProof/>
                <w:webHidden/>
              </w:rPr>
              <w:fldChar w:fldCharType="begin"/>
            </w:r>
            <w:r>
              <w:rPr>
                <w:noProof/>
                <w:webHidden/>
              </w:rPr>
              <w:instrText xml:space="preserve"> PAGEREF _Toc95326249 \h </w:instrText>
            </w:r>
            <w:r>
              <w:rPr>
                <w:noProof/>
                <w:webHidden/>
              </w:rPr>
            </w:r>
            <w:r>
              <w:rPr>
                <w:noProof/>
                <w:webHidden/>
              </w:rPr>
              <w:fldChar w:fldCharType="separate"/>
            </w:r>
            <w:r>
              <w:rPr>
                <w:noProof/>
                <w:webHidden/>
              </w:rPr>
              <w:t>5</w:t>
            </w:r>
            <w:r>
              <w:rPr>
                <w:noProof/>
                <w:webHidden/>
              </w:rPr>
              <w:fldChar w:fldCharType="end"/>
            </w:r>
          </w:hyperlink>
        </w:p>
        <w:p w14:paraId="3AD68886" w14:textId="4DF46D98" w:rsidR="00D05FE3" w:rsidRDefault="00D05FE3">
          <w:pPr>
            <w:pStyle w:val="TOC2"/>
            <w:tabs>
              <w:tab w:val="right" w:leader="dot" w:pos="9016"/>
            </w:tabs>
            <w:rPr>
              <w:rFonts w:asciiTheme="minorHAnsi" w:eastAsiaTheme="minorEastAsia" w:hAnsiTheme="minorHAnsi" w:cstheme="minorBidi"/>
              <w:noProof/>
              <w:szCs w:val="22"/>
              <w:lang w:eastAsia="en-AU"/>
            </w:rPr>
          </w:pPr>
          <w:hyperlink w:anchor="_Toc95326250" w:history="1">
            <w:r w:rsidRPr="00F66855">
              <w:rPr>
                <w:rStyle w:val="Hyperlink"/>
                <w:noProof/>
              </w:rPr>
              <w:t>Chapter Five: Operation of the Act - (Terms of Reference 3, 4 and 5)</w:t>
            </w:r>
            <w:r>
              <w:rPr>
                <w:noProof/>
                <w:webHidden/>
              </w:rPr>
              <w:tab/>
            </w:r>
            <w:r>
              <w:rPr>
                <w:noProof/>
                <w:webHidden/>
              </w:rPr>
              <w:fldChar w:fldCharType="begin"/>
            </w:r>
            <w:r>
              <w:rPr>
                <w:noProof/>
                <w:webHidden/>
              </w:rPr>
              <w:instrText xml:space="preserve"> PAGEREF _Toc95326250 \h </w:instrText>
            </w:r>
            <w:r>
              <w:rPr>
                <w:noProof/>
                <w:webHidden/>
              </w:rPr>
            </w:r>
            <w:r>
              <w:rPr>
                <w:noProof/>
                <w:webHidden/>
              </w:rPr>
              <w:fldChar w:fldCharType="separate"/>
            </w:r>
            <w:r>
              <w:rPr>
                <w:noProof/>
                <w:webHidden/>
              </w:rPr>
              <w:t>5</w:t>
            </w:r>
            <w:r>
              <w:rPr>
                <w:noProof/>
                <w:webHidden/>
              </w:rPr>
              <w:fldChar w:fldCharType="end"/>
            </w:r>
          </w:hyperlink>
        </w:p>
        <w:p w14:paraId="534055D8" w14:textId="2EA45468" w:rsidR="00D05FE3" w:rsidRDefault="00D05FE3">
          <w:pPr>
            <w:pStyle w:val="TOC2"/>
            <w:tabs>
              <w:tab w:val="right" w:leader="dot" w:pos="9016"/>
            </w:tabs>
            <w:rPr>
              <w:rFonts w:asciiTheme="minorHAnsi" w:eastAsiaTheme="minorEastAsia" w:hAnsiTheme="minorHAnsi" w:cstheme="minorBidi"/>
              <w:noProof/>
              <w:szCs w:val="22"/>
              <w:lang w:eastAsia="en-AU"/>
            </w:rPr>
          </w:pPr>
          <w:hyperlink w:anchor="_Toc95326251" w:history="1">
            <w:r w:rsidRPr="00F66855">
              <w:rPr>
                <w:rStyle w:val="Hyperlink"/>
                <w:noProof/>
              </w:rPr>
              <w:t>Chapter Six: Regulatory Burden (Terms of Reference 6 and 7)</w:t>
            </w:r>
            <w:r>
              <w:rPr>
                <w:noProof/>
                <w:webHidden/>
              </w:rPr>
              <w:tab/>
            </w:r>
            <w:r>
              <w:rPr>
                <w:noProof/>
                <w:webHidden/>
              </w:rPr>
              <w:fldChar w:fldCharType="begin"/>
            </w:r>
            <w:r>
              <w:rPr>
                <w:noProof/>
                <w:webHidden/>
              </w:rPr>
              <w:instrText xml:space="preserve"> PAGEREF _Toc95326251 \h </w:instrText>
            </w:r>
            <w:r>
              <w:rPr>
                <w:noProof/>
                <w:webHidden/>
              </w:rPr>
            </w:r>
            <w:r>
              <w:rPr>
                <w:noProof/>
                <w:webHidden/>
              </w:rPr>
              <w:fldChar w:fldCharType="separate"/>
            </w:r>
            <w:r>
              <w:rPr>
                <w:noProof/>
                <w:webHidden/>
              </w:rPr>
              <w:t>7</w:t>
            </w:r>
            <w:r>
              <w:rPr>
                <w:noProof/>
                <w:webHidden/>
              </w:rPr>
              <w:fldChar w:fldCharType="end"/>
            </w:r>
          </w:hyperlink>
        </w:p>
        <w:p w14:paraId="662A1F26" w14:textId="713E88F2" w:rsidR="00D05FE3" w:rsidRDefault="00D05FE3">
          <w:pPr>
            <w:pStyle w:val="TOC2"/>
            <w:tabs>
              <w:tab w:val="right" w:leader="dot" w:pos="9016"/>
            </w:tabs>
            <w:rPr>
              <w:rFonts w:asciiTheme="minorHAnsi" w:eastAsiaTheme="minorEastAsia" w:hAnsiTheme="minorHAnsi" w:cstheme="minorBidi"/>
              <w:noProof/>
              <w:szCs w:val="22"/>
              <w:lang w:eastAsia="en-AU"/>
            </w:rPr>
          </w:pPr>
          <w:hyperlink w:anchor="_Toc95326252" w:history="1">
            <w:r w:rsidRPr="00F66855">
              <w:rPr>
                <w:rStyle w:val="Hyperlink"/>
                <w:noProof/>
              </w:rPr>
              <w:t>Chapter Seven: Interface with Other Systems (Terms of Reference 8 and 9)</w:t>
            </w:r>
            <w:r>
              <w:rPr>
                <w:noProof/>
                <w:webHidden/>
              </w:rPr>
              <w:tab/>
            </w:r>
            <w:r>
              <w:rPr>
                <w:noProof/>
                <w:webHidden/>
              </w:rPr>
              <w:fldChar w:fldCharType="begin"/>
            </w:r>
            <w:r>
              <w:rPr>
                <w:noProof/>
                <w:webHidden/>
              </w:rPr>
              <w:instrText xml:space="preserve"> PAGEREF _Toc95326252 \h </w:instrText>
            </w:r>
            <w:r>
              <w:rPr>
                <w:noProof/>
                <w:webHidden/>
              </w:rPr>
            </w:r>
            <w:r>
              <w:rPr>
                <w:noProof/>
                <w:webHidden/>
              </w:rPr>
              <w:fldChar w:fldCharType="separate"/>
            </w:r>
            <w:r>
              <w:rPr>
                <w:noProof/>
                <w:webHidden/>
              </w:rPr>
              <w:t>8</w:t>
            </w:r>
            <w:r>
              <w:rPr>
                <w:noProof/>
                <w:webHidden/>
              </w:rPr>
              <w:fldChar w:fldCharType="end"/>
            </w:r>
          </w:hyperlink>
        </w:p>
        <w:p w14:paraId="78F9F348" w14:textId="0F8B9A1D" w:rsidR="00D05FE3" w:rsidRDefault="00D05FE3">
          <w:pPr>
            <w:pStyle w:val="TOC2"/>
            <w:tabs>
              <w:tab w:val="right" w:leader="dot" w:pos="9016"/>
            </w:tabs>
            <w:rPr>
              <w:rFonts w:asciiTheme="minorHAnsi" w:eastAsiaTheme="minorEastAsia" w:hAnsiTheme="minorHAnsi" w:cstheme="minorBidi"/>
              <w:noProof/>
              <w:szCs w:val="22"/>
              <w:lang w:eastAsia="en-AU"/>
            </w:rPr>
          </w:pPr>
          <w:hyperlink w:anchor="_Toc95326253" w:history="1">
            <w:r w:rsidRPr="00F66855">
              <w:rPr>
                <w:rStyle w:val="Hyperlink"/>
                <w:noProof/>
              </w:rPr>
              <w:t>Chapter Eight: Changing Circumstances (Term of Reference 10)</w:t>
            </w:r>
            <w:r>
              <w:rPr>
                <w:noProof/>
                <w:webHidden/>
              </w:rPr>
              <w:tab/>
            </w:r>
            <w:r>
              <w:rPr>
                <w:noProof/>
                <w:webHidden/>
              </w:rPr>
              <w:fldChar w:fldCharType="begin"/>
            </w:r>
            <w:r>
              <w:rPr>
                <w:noProof/>
                <w:webHidden/>
              </w:rPr>
              <w:instrText xml:space="preserve"> PAGEREF _Toc95326253 \h </w:instrText>
            </w:r>
            <w:r>
              <w:rPr>
                <w:noProof/>
                <w:webHidden/>
              </w:rPr>
            </w:r>
            <w:r>
              <w:rPr>
                <w:noProof/>
                <w:webHidden/>
              </w:rPr>
              <w:fldChar w:fldCharType="separate"/>
            </w:r>
            <w:r>
              <w:rPr>
                <w:noProof/>
                <w:webHidden/>
              </w:rPr>
              <w:t>9</w:t>
            </w:r>
            <w:r>
              <w:rPr>
                <w:noProof/>
                <w:webHidden/>
              </w:rPr>
              <w:fldChar w:fldCharType="end"/>
            </w:r>
          </w:hyperlink>
        </w:p>
        <w:p w14:paraId="27F70260" w14:textId="342A6A9B" w:rsidR="00D05FE3" w:rsidRDefault="00D05FE3">
          <w:pPr>
            <w:pStyle w:val="TOC2"/>
            <w:tabs>
              <w:tab w:val="right" w:leader="dot" w:pos="9016"/>
            </w:tabs>
            <w:rPr>
              <w:rFonts w:asciiTheme="minorHAnsi" w:eastAsiaTheme="minorEastAsia" w:hAnsiTheme="minorHAnsi" w:cstheme="minorBidi"/>
              <w:noProof/>
              <w:szCs w:val="22"/>
              <w:lang w:eastAsia="en-AU"/>
            </w:rPr>
          </w:pPr>
          <w:hyperlink w:anchor="_Toc95326254" w:history="1">
            <w:r w:rsidRPr="00F66855">
              <w:rPr>
                <w:rStyle w:val="Hyperlink"/>
                <w:noProof/>
              </w:rPr>
              <w:t>Chapter Nine: IGA Achieving its Aims (Term of Reference 12)</w:t>
            </w:r>
            <w:r>
              <w:rPr>
                <w:noProof/>
                <w:webHidden/>
              </w:rPr>
              <w:tab/>
            </w:r>
            <w:r>
              <w:rPr>
                <w:noProof/>
                <w:webHidden/>
              </w:rPr>
              <w:fldChar w:fldCharType="begin"/>
            </w:r>
            <w:r>
              <w:rPr>
                <w:noProof/>
                <w:webHidden/>
              </w:rPr>
              <w:instrText xml:space="preserve"> PAGEREF _Toc95326254 \h </w:instrText>
            </w:r>
            <w:r>
              <w:rPr>
                <w:noProof/>
                <w:webHidden/>
              </w:rPr>
            </w:r>
            <w:r>
              <w:rPr>
                <w:noProof/>
                <w:webHidden/>
              </w:rPr>
              <w:fldChar w:fldCharType="separate"/>
            </w:r>
            <w:r>
              <w:rPr>
                <w:noProof/>
                <w:webHidden/>
              </w:rPr>
              <w:t>9</w:t>
            </w:r>
            <w:r>
              <w:rPr>
                <w:noProof/>
                <w:webHidden/>
              </w:rPr>
              <w:fldChar w:fldCharType="end"/>
            </w:r>
          </w:hyperlink>
        </w:p>
        <w:p w14:paraId="4A22E209" w14:textId="6A3DBF8C" w:rsidR="00D05FE3" w:rsidRDefault="00D05FE3">
          <w:pPr>
            <w:pStyle w:val="TOC1"/>
            <w:tabs>
              <w:tab w:val="right" w:leader="dot" w:pos="9016"/>
            </w:tabs>
            <w:rPr>
              <w:rFonts w:asciiTheme="minorHAnsi" w:eastAsiaTheme="minorEastAsia" w:hAnsiTheme="minorHAnsi" w:cstheme="minorBidi"/>
              <w:noProof/>
              <w:szCs w:val="22"/>
              <w:lang w:eastAsia="en-AU"/>
            </w:rPr>
          </w:pPr>
          <w:hyperlink w:anchor="_Toc95326255" w:history="1">
            <w:r w:rsidRPr="00F66855">
              <w:rPr>
                <w:rStyle w:val="Hyperlink"/>
                <w:noProof/>
              </w:rPr>
              <w:t>Chapter 1: INTRODUCTION AND TERMS OF REFERENCE</w:t>
            </w:r>
            <w:r>
              <w:rPr>
                <w:noProof/>
                <w:webHidden/>
              </w:rPr>
              <w:tab/>
            </w:r>
            <w:r>
              <w:rPr>
                <w:noProof/>
                <w:webHidden/>
              </w:rPr>
              <w:fldChar w:fldCharType="begin"/>
            </w:r>
            <w:r>
              <w:rPr>
                <w:noProof/>
                <w:webHidden/>
              </w:rPr>
              <w:instrText xml:space="preserve"> PAGEREF _Toc95326255 \h </w:instrText>
            </w:r>
            <w:r>
              <w:rPr>
                <w:noProof/>
                <w:webHidden/>
              </w:rPr>
            </w:r>
            <w:r>
              <w:rPr>
                <w:noProof/>
                <w:webHidden/>
              </w:rPr>
              <w:fldChar w:fldCharType="separate"/>
            </w:r>
            <w:r>
              <w:rPr>
                <w:noProof/>
                <w:webHidden/>
              </w:rPr>
              <w:t>10</w:t>
            </w:r>
            <w:r>
              <w:rPr>
                <w:noProof/>
                <w:webHidden/>
              </w:rPr>
              <w:fldChar w:fldCharType="end"/>
            </w:r>
          </w:hyperlink>
        </w:p>
        <w:p w14:paraId="37463FD9" w14:textId="7F63CFFA" w:rsidR="00D05FE3" w:rsidRDefault="00D05FE3">
          <w:pPr>
            <w:pStyle w:val="TOC2"/>
            <w:tabs>
              <w:tab w:val="right" w:leader="dot" w:pos="9016"/>
            </w:tabs>
            <w:rPr>
              <w:rFonts w:asciiTheme="minorHAnsi" w:eastAsiaTheme="minorEastAsia" w:hAnsiTheme="minorHAnsi" w:cstheme="minorBidi"/>
              <w:noProof/>
              <w:szCs w:val="22"/>
              <w:lang w:eastAsia="en-AU"/>
            </w:rPr>
          </w:pPr>
          <w:hyperlink w:anchor="_Toc95326256" w:history="1">
            <w:r w:rsidRPr="00F66855">
              <w:rPr>
                <w:rStyle w:val="Hyperlink"/>
                <w:noProof/>
              </w:rPr>
              <w:t>Terms of Reference</w:t>
            </w:r>
            <w:r>
              <w:rPr>
                <w:noProof/>
                <w:webHidden/>
              </w:rPr>
              <w:tab/>
            </w:r>
            <w:r>
              <w:rPr>
                <w:noProof/>
                <w:webHidden/>
              </w:rPr>
              <w:fldChar w:fldCharType="begin"/>
            </w:r>
            <w:r>
              <w:rPr>
                <w:noProof/>
                <w:webHidden/>
              </w:rPr>
              <w:instrText xml:space="preserve"> PAGEREF _Toc95326256 \h </w:instrText>
            </w:r>
            <w:r>
              <w:rPr>
                <w:noProof/>
                <w:webHidden/>
              </w:rPr>
            </w:r>
            <w:r>
              <w:rPr>
                <w:noProof/>
                <w:webHidden/>
              </w:rPr>
              <w:fldChar w:fldCharType="separate"/>
            </w:r>
            <w:r>
              <w:rPr>
                <w:noProof/>
                <w:webHidden/>
              </w:rPr>
              <w:t>11</w:t>
            </w:r>
            <w:r>
              <w:rPr>
                <w:noProof/>
                <w:webHidden/>
              </w:rPr>
              <w:fldChar w:fldCharType="end"/>
            </w:r>
          </w:hyperlink>
        </w:p>
        <w:p w14:paraId="1D0C33BD" w14:textId="68F2AE84" w:rsidR="00D05FE3" w:rsidRDefault="00D05FE3">
          <w:pPr>
            <w:pStyle w:val="TOC2"/>
            <w:tabs>
              <w:tab w:val="right" w:leader="dot" w:pos="9016"/>
            </w:tabs>
            <w:rPr>
              <w:rFonts w:asciiTheme="minorHAnsi" w:eastAsiaTheme="minorEastAsia" w:hAnsiTheme="minorHAnsi" w:cstheme="minorBidi"/>
              <w:noProof/>
              <w:szCs w:val="22"/>
              <w:lang w:eastAsia="en-AU"/>
            </w:rPr>
          </w:pPr>
          <w:hyperlink w:anchor="_Toc95326257" w:history="1">
            <w:r w:rsidRPr="00F66855">
              <w:rPr>
                <w:rStyle w:val="Hyperlink"/>
                <w:noProof/>
              </w:rPr>
              <w:t>Process</w:t>
            </w:r>
            <w:r>
              <w:rPr>
                <w:noProof/>
                <w:webHidden/>
              </w:rPr>
              <w:tab/>
            </w:r>
            <w:r>
              <w:rPr>
                <w:noProof/>
                <w:webHidden/>
              </w:rPr>
              <w:fldChar w:fldCharType="begin"/>
            </w:r>
            <w:r>
              <w:rPr>
                <w:noProof/>
                <w:webHidden/>
              </w:rPr>
              <w:instrText xml:space="preserve"> PAGEREF _Toc95326257 \h </w:instrText>
            </w:r>
            <w:r>
              <w:rPr>
                <w:noProof/>
                <w:webHidden/>
              </w:rPr>
            </w:r>
            <w:r>
              <w:rPr>
                <w:noProof/>
                <w:webHidden/>
              </w:rPr>
              <w:fldChar w:fldCharType="separate"/>
            </w:r>
            <w:r>
              <w:rPr>
                <w:noProof/>
                <w:webHidden/>
              </w:rPr>
              <w:t>12</w:t>
            </w:r>
            <w:r>
              <w:rPr>
                <w:noProof/>
                <w:webHidden/>
              </w:rPr>
              <w:fldChar w:fldCharType="end"/>
            </w:r>
          </w:hyperlink>
        </w:p>
        <w:p w14:paraId="78298D35" w14:textId="6C1FABC7" w:rsidR="00D05FE3" w:rsidRDefault="00D05FE3">
          <w:pPr>
            <w:pStyle w:val="TOC1"/>
            <w:tabs>
              <w:tab w:val="right" w:leader="dot" w:pos="9016"/>
            </w:tabs>
            <w:rPr>
              <w:rFonts w:asciiTheme="minorHAnsi" w:eastAsiaTheme="minorEastAsia" w:hAnsiTheme="minorHAnsi" w:cstheme="minorBidi"/>
              <w:noProof/>
              <w:szCs w:val="22"/>
              <w:lang w:eastAsia="en-AU"/>
            </w:rPr>
          </w:pPr>
          <w:hyperlink w:anchor="_Toc95326258" w:history="1">
            <w:r w:rsidRPr="00F66855">
              <w:rPr>
                <w:rStyle w:val="Hyperlink"/>
                <w:noProof/>
              </w:rPr>
              <w:t>Chapter 2: BACKGROUND ON GENE TECHNOLOGY</w:t>
            </w:r>
            <w:r>
              <w:rPr>
                <w:noProof/>
                <w:webHidden/>
              </w:rPr>
              <w:tab/>
            </w:r>
            <w:r>
              <w:rPr>
                <w:noProof/>
                <w:webHidden/>
              </w:rPr>
              <w:fldChar w:fldCharType="begin"/>
            </w:r>
            <w:r>
              <w:rPr>
                <w:noProof/>
                <w:webHidden/>
              </w:rPr>
              <w:instrText xml:space="preserve"> PAGEREF _Toc95326258 \h </w:instrText>
            </w:r>
            <w:r>
              <w:rPr>
                <w:noProof/>
                <w:webHidden/>
              </w:rPr>
            </w:r>
            <w:r>
              <w:rPr>
                <w:noProof/>
                <w:webHidden/>
              </w:rPr>
              <w:fldChar w:fldCharType="separate"/>
            </w:r>
            <w:r>
              <w:rPr>
                <w:noProof/>
                <w:webHidden/>
              </w:rPr>
              <w:t>16</w:t>
            </w:r>
            <w:r>
              <w:rPr>
                <w:noProof/>
                <w:webHidden/>
              </w:rPr>
              <w:fldChar w:fldCharType="end"/>
            </w:r>
          </w:hyperlink>
        </w:p>
        <w:p w14:paraId="6D1B2941" w14:textId="3A6EB737" w:rsidR="00D05FE3" w:rsidRDefault="00D05FE3">
          <w:pPr>
            <w:pStyle w:val="TOC2"/>
            <w:tabs>
              <w:tab w:val="right" w:leader="dot" w:pos="9016"/>
            </w:tabs>
            <w:rPr>
              <w:rFonts w:asciiTheme="minorHAnsi" w:eastAsiaTheme="minorEastAsia" w:hAnsiTheme="minorHAnsi" w:cstheme="minorBidi"/>
              <w:noProof/>
              <w:szCs w:val="22"/>
              <w:lang w:eastAsia="en-AU"/>
            </w:rPr>
          </w:pPr>
          <w:hyperlink w:anchor="_Toc95326259" w:history="1">
            <w:r w:rsidRPr="00F66855">
              <w:rPr>
                <w:rStyle w:val="Hyperlink"/>
                <w:noProof/>
              </w:rPr>
              <w:t>What is gene technology?</w:t>
            </w:r>
            <w:r>
              <w:rPr>
                <w:noProof/>
                <w:webHidden/>
              </w:rPr>
              <w:tab/>
            </w:r>
            <w:r>
              <w:rPr>
                <w:noProof/>
                <w:webHidden/>
              </w:rPr>
              <w:fldChar w:fldCharType="begin"/>
            </w:r>
            <w:r>
              <w:rPr>
                <w:noProof/>
                <w:webHidden/>
              </w:rPr>
              <w:instrText xml:space="preserve"> PAGEREF _Toc95326259 \h </w:instrText>
            </w:r>
            <w:r>
              <w:rPr>
                <w:noProof/>
                <w:webHidden/>
              </w:rPr>
            </w:r>
            <w:r>
              <w:rPr>
                <w:noProof/>
                <w:webHidden/>
              </w:rPr>
              <w:fldChar w:fldCharType="separate"/>
            </w:r>
            <w:r>
              <w:rPr>
                <w:noProof/>
                <w:webHidden/>
              </w:rPr>
              <w:t>16</w:t>
            </w:r>
            <w:r>
              <w:rPr>
                <w:noProof/>
                <w:webHidden/>
              </w:rPr>
              <w:fldChar w:fldCharType="end"/>
            </w:r>
          </w:hyperlink>
        </w:p>
        <w:p w14:paraId="460A9E52" w14:textId="43F8641C" w:rsidR="00D05FE3" w:rsidRDefault="00D05FE3">
          <w:pPr>
            <w:pStyle w:val="TOC2"/>
            <w:tabs>
              <w:tab w:val="right" w:leader="dot" w:pos="9016"/>
            </w:tabs>
            <w:rPr>
              <w:rFonts w:asciiTheme="minorHAnsi" w:eastAsiaTheme="minorEastAsia" w:hAnsiTheme="minorHAnsi" w:cstheme="minorBidi"/>
              <w:noProof/>
              <w:szCs w:val="22"/>
              <w:lang w:eastAsia="en-AU"/>
            </w:rPr>
          </w:pPr>
          <w:hyperlink w:anchor="_Toc95326260" w:history="1">
            <w:r w:rsidRPr="00F66855">
              <w:rPr>
                <w:rStyle w:val="Hyperlink"/>
                <w:noProof/>
              </w:rPr>
              <w:t>Development of the gene technology regulatory system</w:t>
            </w:r>
            <w:r>
              <w:rPr>
                <w:noProof/>
                <w:webHidden/>
              </w:rPr>
              <w:tab/>
            </w:r>
            <w:r>
              <w:rPr>
                <w:noProof/>
                <w:webHidden/>
              </w:rPr>
              <w:fldChar w:fldCharType="begin"/>
            </w:r>
            <w:r>
              <w:rPr>
                <w:noProof/>
                <w:webHidden/>
              </w:rPr>
              <w:instrText xml:space="preserve"> PAGEREF _Toc95326260 \h </w:instrText>
            </w:r>
            <w:r>
              <w:rPr>
                <w:noProof/>
                <w:webHidden/>
              </w:rPr>
            </w:r>
            <w:r>
              <w:rPr>
                <w:noProof/>
                <w:webHidden/>
              </w:rPr>
              <w:fldChar w:fldCharType="separate"/>
            </w:r>
            <w:r>
              <w:rPr>
                <w:noProof/>
                <w:webHidden/>
              </w:rPr>
              <w:t>16</w:t>
            </w:r>
            <w:r>
              <w:rPr>
                <w:noProof/>
                <w:webHidden/>
              </w:rPr>
              <w:fldChar w:fldCharType="end"/>
            </w:r>
          </w:hyperlink>
        </w:p>
        <w:p w14:paraId="2068856F" w14:textId="1CB4D138" w:rsidR="00D05FE3" w:rsidRDefault="00D05FE3">
          <w:pPr>
            <w:pStyle w:val="TOC2"/>
            <w:tabs>
              <w:tab w:val="right" w:leader="dot" w:pos="9016"/>
            </w:tabs>
            <w:rPr>
              <w:rFonts w:asciiTheme="minorHAnsi" w:eastAsiaTheme="minorEastAsia" w:hAnsiTheme="minorHAnsi" w:cstheme="minorBidi"/>
              <w:noProof/>
              <w:szCs w:val="22"/>
              <w:lang w:eastAsia="en-AU"/>
            </w:rPr>
          </w:pPr>
          <w:hyperlink w:anchor="_Toc95326261" w:history="1">
            <w:r w:rsidRPr="00F66855">
              <w:rPr>
                <w:rStyle w:val="Hyperlink"/>
                <w:noProof/>
              </w:rPr>
              <w:t>The Gene Technology Ministerial Council and the Gene Technology Intergovernmental Agreement</w:t>
            </w:r>
            <w:r>
              <w:rPr>
                <w:noProof/>
                <w:webHidden/>
              </w:rPr>
              <w:tab/>
            </w:r>
            <w:r>
              <w:rPr>
                <w:noProof/>
                <w:webHidden/>
              </w:rPr>
              <w:fldChar w:fldCharType="begin"/>
            </w:r>
            <w:r>
              <w:rPr>
                <w:noProof/>
                <w:webHidden/>
              </w:rPr>
              <w:instrText xml:space="preserve"> PAGEREF _Toc95326261 \h </w:instrText>
            </w:r>
            <w:r>
              <w:rPr>
                <w:noProof/>
                <w:webHidden/>
              </w:rPr>
            </w:r>
            <w:r>
              <w:rPr>
                <w:noProof/>
                <w:webHidden/>
              </w:rPr>
              <w:fldChar w:fldCharType="separate"/>
            </w:r>
            <w:r>
              <w:rPr>
                <w:noProof/>
                <w:webHidden/>
              </w:rPr>
              <w:t>17</w:t>
            </w:r>
            <w:r>
              <w:rPr>
                <w:noProof/>
                <w:webHidden/>
              </w:rPr>
              <w:fldChar w:fldCharType="end"/>
            </w:r>
          </w:hyperlink>
        </w:p>
        <w:p w14:paraId="64D3BE67" w14:textId="3FF49780" w:rsidR="00D05FE3" w:rsidRDefault="00D05FE3">
          <w:pPr>
            <w:pStyle w:val="TOC2"/>
            <w:tabs>
              <w:tab w:val="right" w:leader="dot" w:pos="9016"/>
            </w:tabs>
            <w:rPr>
              <w:rFonts w:asciiTheme="minorHAnsi" w:eastAsiaTheme="minorEastAsia" w:hAnsiTheme="minorHAnsi" w:cstheme="minorBidi"/>
              <w:noProof/>
              <w:szCs w:val="22"/>
              <w:lang w:eastAsia="en-AU"/>
            </w:rPr>
          </w:pPr>
          <w:hyperlink w:anchor="_Toc95326262" w:history="1">
            <w:r w:rsidRPr="00F66855">
              <w:rPr>
                <w:rStyle w:val="Hyperlink"/>
                <w:noProof/>
              </w:rPr>
              <w:t>Coordination with other regulatory agencies and NHMRC</w:t>
            </w:r>
            <w:r>
              <w:rPr>
                <w:noProof/>
                <w:webHidden/>
              </w:rPr>
              <w:tab/>
            </w:r>
            <w:r>
              <w:rPr>
                <w:noProof/>
                <w:webHidden/>
              </w:rPr>
              <w:fldChar w:fldCharType="begin"/>
            </w:r>
            <w:r>
              <w:rPr>
                <w:noProof/>
                <w:webHidden/>
              </w:rPr>
              <w:instrText xml:space="preserve"> PAGEREF _Toc95326262 \h </w:instrText>
            </w:r>
            <w:r>
              <w:rPr>
                <w:noProof/>
                <w:webHidden/>
              </w:rPr>
            </w:r>
            <w:r>
              <w:rPr>
                <w:noProof/>
                <w:webHidden/>
              </w:rPr>
              <w:fldChar w:fldCharType="separate"/>
            </w:r>
            <w:r>
              <w:rPr>
                <w:noProof/>
                <w:webHidden/>
              </w:rPr>
              <w:t>18</w:t>
            </w:r>
            <w:r>
              <w:rPr>
                <w:noProof/>
                <w:webHidden/>
              </w:rPr>
              <w:fldChar w:fldCharType="end"/>
            </w:r>
          </w:hyperlink>
        </w:p>
        <w:p w14:paraId="2A3C4F69" w14:textId="0E2DFEA9" w:rsidR="00D05FE3" w:rsidRDefault="00D05FE3">
          <w:pPr>
            <w:pStyle w:val="TOC1"/>
            <w:tabs>
              <w:tab w:val="right" w:leader="dot" w:pos="9016"/>
            </w:tabs>
            <w:rPr>
              <w:rFonts w:asciiTheme="minorHAnsi" w:eastAsiaTheme="minorEastAsia" w:hAnsiTheme="minorHAnsi" w:cstheme="minorBidi"/>
              <w:noProof/>
              <w:szCs w:val="22"/>
              <w:lang w:eastAsia="en-AU"/>
            </w:rPr>
          </w:pPr>
          <w:hyperlink w:anchor="_Toc95326263" w:history="1">
            <w:r w:rsidRPr="00F66855">
              <w:rPr>
                <w:rStyle w:val="Hyperlink"/>
                <w:noProof/>
              </w:rPr>
              <w:t>Chapter 3: SCOPE OF THE ACT</w:t>
            </w:r>
            <w:r>
              <w:rPr>
                <w:noProof/>
                <w:webHidden/>
              </w:rPr>
              <w:tab/>
            </w:r>
            <w:r>
              <w:rPr>
                <w:noProof/>
                <w:webHidden/>
              </w:rPr>
              <w:fldChar w:fldCharType="begin"/>
            </w:r>
            <w:r>
              <w:rPr>
                <w:noProof/>
                <w:webHidden/>
              </w:rPr>
              <w:instrText xml:space="preserve"> PAGEREF _Toc95326263 \h </w:instrText>
            </w:r>
            <w:r>
              <w:rPr>
                <w:noProof/>
                <w:webHidden/>
              </w:rPr>
            </w:r>
            <w:r>
              <w:rPr>
                <w:noProof/>
                <w:webHidden/>
              </w:rPr>
              <w:fldChar w:fldCharType="separate"/>
            </w:r>
            <w:r>
              <w:rPr>
                <w:noProof/>
                <w:webHidden/>
              </w:rPr>
              <w:t>21</w:t>
            </w:r>
            <w:r>
              <w:rPr>
                <w:noProof/>
                <w:webHidden/>
              </w:rPr>
              <w:fldChar w:fldCharType="end"/>
            </w:r>
          </w:hyperlink>
        </w:p>
        <w:p w14:paraId="66BF2863" w14:textId="7A2664CB" w:rsidR="00D05FE3" w:rsidRDefault="00D05FE3">
          <w:pPr>
            <w:pStyle w:val="TOC2"/>
            <w:tabs>
              <w:tab w:val="right" w:leader="dot" w:pos="9016"/>
            </w:tabs>
            <w:rPr>
              <w:rFonts w:asciiTheme="minorHAnsi" w:eastAsiaTheme="minorEastAsia" w:hAnsiTheme="minorHAnsi" w:cstheme="minorBidi"/>
              <w:noProof/>
              <w:szCs w:val="22"/>
              <w:lang w:eastAsia="en-AU"/>
            </w:rPr>
          </w:pPr>
          <w:hyperlink w:anchor="_Toc95326264" w:history="1">
            <w:r w:rsidRPr="00F66855">
              <w:rPr>
                <w:rStyle w:val="Hyperlink"/>
                <w:noProof/>
              </w:rPr>
              <w:t>Policy objectives</w:t>
            </w:r>
            <w:r>
              <w:rPr>
                <w:noProof/>
                <w:webHidden/>
              </w:rPr>
              <w:tab/>
            </w:r>
            <w:r>
              <w:rPr>
                <w:noProof/>
                <w:webHidden/>
              </w:rPr>
              <w:fldChar w:fldCharType="begin"/>
            </w:r>
            <w:r>
              <w:rPr>
                <w:noProof/>
                <w:webHidden/>
              </w:rPr>
              <w:instrText xml:space="preserve"> PAGEREF _Toc95326264 \h </w:instrText>
            </w:r>
            <w:r>
              <w:rPr>
                <w:noProof/>
                <w:webHidden/>
              </w:rPr>
            </w:r>
            <w:r>
              <w:rPr>
                <w:noProof/>
                <w:webHidden/>
              </w:rPr>
              <w:fldChar w:fldCharType="separate"/>
            </w:r>
            <w:r>
              <w:rPr>
                <w:noProof/>
                <w:webHidden/>
              </w:rPr>
              <w:t>21</w:t>
            </w:r>
            <w:r>
              <w:rPr>
                <w:noProof/>
                <w:webHidden/>
              </w:rPr>
              <w:fldChar w:fldCharType="end"/>
            </w:r>
          </w:hyperlink>
        </w:p>
        <w:p w14:paraId="4E7D557A" w14:textId="5688B208" w:rsidR="00D05FE3" w:rsidRDefault="00D05FE3">
          <w:pPr>
            <w:pStyle w:val="TOC2"/>
            <w:tabs>
              <w:tab w:val="right" w:leader="dot" w:pos="9016"/>
            </w:tabs>
            <w:rPr>
              <w:rFonts w:asciiTheme="minorHAnsi" w:eastAsiaTheme="minorEastAsia" w:hAnsiTheme="minorHAnsi" w:cstheme="minorBidi"/>
              <w:noProof/>
              <w:szCs w:val="22"/>
              <w:lang w:eastAsia="en-AU"/>
            </w:rPr>
          </w:pPr>
          <w:hyperlink w:anchor="_Toc95326265" w:history="1">
            <w:r w:rsidRPr="00F66855">
              <w:rPr>
                <w:rStyle w:val="Hyperlink"/>
                <w:noProof/>
              </w:rPr>
              <w:t>Consideration of economic, marketing and trade, cultural and social impacts</w:t>
            </w:r>
            <w:r>
              <w:rPr>
                <w:noProof/>
                <w:webHidden/>
              </w:rPr>
              <w:tab/>
            </w:r>
            <w:r>
              <w:rPr>
                <w:noProof/>
                <w:webHidden/>
              </w:rPr>
              <w:fldChar w:fldCharType="begin"/>
            </w:r>
            <w:r>
              <w:rPr>
                <w:noProof/>
                <w:webHidden/>
              </w:rPr>
              <w:instrText xml:space="preserve"> PAGEREF _Toc95326265 \h </w:instrText>
            </w:r>
            <w:r>
              <w:rPr>
                <w:noProof/>
                <w:webHidden/>
              </w:rPr>
            </w:r>
            <w:r>
              <w:rPr>
                <w:noProof/>
                <w:webHidden/>
              </w:rPr>
              <w:fldChar w:fldCharType="separate"/>
            </w:r>
            <w:r>
              <w:rPr>
                <w:noProof/>
                <w:webHidden/>
              </w:rPr>
              <w:t>21</w:t>
            </w:r>
            <w:r>
              <w:rPr>
                <w:noProof/>
                <w:webHidden/>
              </w:rPr>
              <w:fldChar w:fldCharType="end"/>
            </w:r>
          </w:hyperlink>
        </w:p>
        <w:p w14:paraId="3944F84C" w14:textId="1C22ED30" w:rsidR="00D05FE3" w:rsidRDefault="00D05FE3">
          <w:pPr>
            <w:pStyle w:val="TOC2"/>
            <w:tabs>
              <w:tab w:val="right" w:leader="dot" w:pos="9016"/>
            </w:tabs>
            <w:rPr>
              <w:rFonts w:asciiTheme="minorHAnsi" w:eastAsiaTheme="minorEastAsia" w:hAnsiTheme="minorHAnsi" w:cstheme="minorBidi"/>
              <w:noProof/>
              <w:szCs w:val="22"/>
              <w:lang w:eastAsia="en-AU"/>
            </w:rPr>
          </w:pPr>
          <w:hyperlink w:anchor="_Toc95326266" w:history="1">
            <w:r w:rsidRPr="00F66855">
              <w:rPr>
                <w:rStyle w:val="Hyperlink"/>
                <w:noProof/>
              </w:rPr>
              <w:t>Benefit assessment</w:t>
            </w:r>
            <w:r>
              <w:rPr>
                <w:noProof/>
                <w:webHidden/>
              </w:rPr>
              <w:tab/>
            </w:r>
            <w:r>
              <w:rPr>
                <w:noProof/>
                <w:webHidden/>
              </w:rPr>
              <w:fldChar w:fldCharType="begin"/>
            </w:r>
            <w:r>
              <w:rPr>
                <w:noProof/>
                <w:webHidden/>
              </w:rPr>
              <w:instrText xml:space="preserve"> PAGEREF _Toc95326266 \h </w:instrText>
            </w:r>
            <w:r>
              <w:rPr>
                <w:noProof/>
                <w:webHidden/>
              </w:rPr>
            </w:r>
            <w:r>
              <w:rPr>
                <w:noProof/>
                <w:webHidden/>
              </w:rPr>
              <w:fldChar w:fldCharType="separate"/>
            </w:r>
            <w:r>
              <w:rPr>
                <w:noProof/>
                <w:webHidden/>
              </w:rPr>
              <w:t>22</w:t>
            </w:r>
            <w:r>
              <w:rPr>
                <w:noProof/>
                <w:webHidden/>
              </w:rPr>
              <w:fldChar w:fldCharType="end"/>
            </w:r>
          </w:hyperlink>
        </w:p>
        <w:p w14:paraId="25F64052" w14:textId="32A93A45" w:rsidR="00D05FE3" w:rsidRDefault="00D05FE3">
          <w:pPr>
            <w:pStyle w:val="TOC2"/>
            <w:tabs>
              <w:tab w:val="right" w:leader="dot" w:pos="9016"/>
            </w:tabs>
            <w:rPr>
              <w:rFonts w:asciiTheme="minorHAnsi" w:eastAsiaTheme="minorEastAsia" w:hAnsiTheme="minorHAnsi" w:cstheme="minorBidi"/>
              <w:noProof/>
              <w:szCs w:val="22"/>
              <w:lang w:eastAsia="en-AU"/>
            </w:rPr>
          </w:pPr>
          <w:hyperlink w:anchor="_Toc95326267" w:history="1">
            <w:r w:rsidRPr="00F66855">
              <w:rPr>
                <w:rStyle w:val="Hyperlink"/>
                <w:noProof/>
              </w:rPr>
              <w:t>Efficacy</w:t>
            </w:r>
            <w:r>
              <w:rPr>
                <w:noProof/>
                <w:webHidden/>
              </w:rPr>
              <w:tab/>
            </w:r>
            <w:r>
              <w:rPr>
                <w:noProof/>
                <w:webHidden/>
              </w:rPr>
              <w:fldChar w:fldCharType="begin"/>
            </w:r>
            <w:r>
              <w:rPr>
                <w:noProof/>
                <w:webHidden/>
              </w:rPr>
              <w:instrText xml:space="preserve"> PAGEREF _Toc95326267 \h </w:instrText>
            </w:r>
            <w:r>
              <w:rPr>
                <w:noProof/>
                <w:webHidden/>
              </w:rPr>
            </w:r>
            <w:r>
              <w:rPr>
                <w:noProof/>
                <w:webHidden/>
              </w:rPr>
              <w:fldChar w:fldCharType="separate"/>
            </w:r>
            <w:r>
              <w:rPr>
                <w:noProof/>
                <w:webHidden/>
              </w:rPr>
              <w:t>23</w:t>
            </w:r>
            <w:r>
              <w:rPr>
                <w:noProof/>
                <w:webHidden/>
              </w:rPr>
              <w:fldChar w:fldCharType="end"/>
            </w:r>
          </w:hyperlink>
        </w:p>
        <w:p w14:paraId="730E52EB" w14:textId="6BD18F63" w:rsidR="00D05FE3" w:rsidRDefault="00D05FE3">
          <w:pPr>
            <w:pStyle w:val="TOC2"/>
            <w:tabs>
              <w:tab w:val="right" w:leader="dot" w:pos="9016"/>
            </w:tabs>
            <w:rPr>
              <w:rFonts w:asciiTheme="minorHAnsi" w:eastAsiaTheme="minorEastAsia" w:hAnsiTheme="minorHAnsi" w:cstheme="minorBidi"/>
              <w:noProof/>
              <w:szCs w:val="22"/>
              <w:lang w:eastAsia="en-AU"/>
            </w:rPr>
          </w:pPr>
          <w:hyperlink w:anchor="_Toc95326268" w:history="1">
            <w:r w:rsidRPr="00F66855">
              <w:rPr>
                <w:rStyle w:val="Hyperlink"/>
                <w:noProof/>
              </w:rPr>
              <w:t>Definitions in the Act</w:t>
            </w:r>
            <w:r>
              <w:rPr>
                <w:noProof/>
                <w:webHidden/>
              </w:rPr>
              <w:tab/>
            </w:r>
            <w:r>
              <w:rPr>
                <w:noProof/>
                <w:webHidden/>
              </w:rPr>
              <w:fldChar w:fldCharType="begin"/>
            </w:r>
            <w:r>
              <w:rPr>
                <w:noProof/>
                <w:webHidden/>
              </w:rPr>
              <w:instrText xml:space="preserve"> PAGEREF _Toc95326268 \h </w:instrText>
            </w:r>
            <w:r>
              <w:rPr>
                <w:noProof/>
                <w:webHidden/>
              </w:rPr>
            </w:r>
            <w:r>
              <w:rPr>
                <w:noProof/>
                <w:webHidden/>
              </w:rPr>
              <w:fldChar w:fldCharType="separate"/>
            </w:r>
            <w:r>
              <w:rPr>
                <w:noProof/>
                <w:webHidden/>
              </w:rPr>
              <w:t>23</w:t>
            </w:r>
            <w:r>
              <w:rPr>
                <w:noProof/>
                <w:webHidden/>
              </w:rPr>
              <w:fldChar w:fldCharType="end"/>
            </w:r>
          </w:hyperlink>
        </w:p>
        <w:p w14:paraId="078FE601" w14:textId="086B217B" w:rsidR="00D05FE3" w:rsidRDefault="00D05FE3">
          <w:pPr>
            <w:pStyle w:val="TOC2"/>
            <w:tabs>
              <w:tab w:val="right" w:leader="dot" w:pos="9016"/>
            </w:tabs>
            <w:rPr>
              <w:rFonts w:asciiTheme="minorHAnsi" w:eastAsiaTheme="minorEastAsia" w:hAnsiTheme="minorHAnsi" w:cstheme="minorBidi"/>
              <w:noProof/>
              <w:szCs w:val="22"/>
              <w:lang w:eastAsia="en-AU"/>
            </w:rPr>
          </w:pPr>
          <w:hyperlink w:anchor="_Toc95326269" w:history="1">
            <w:r w:rsidRPr="00F66855">
              <w:rPr>
                <w:rStyle w:val="Hyperlink"/>
                <w:noProof/>
              </w:rPr>
              <w:t>Technologies and organisms covered by the Act</w:t>
            </w:r>
            <w:r>
              <w:rPr>
                <w:noProof/>
                <w:webHidden/>
              </w:rPr>
              <w:tab/>
            </w:r>
            <w:r>
              <w:rPr>
                <w:noProof/>
                <w:webHidden/>
              </w:rPr>
              <w:fldChar w:fldCharType="begin"/>
            </w:r>
            <w:r>
              <w:rPr>
                <w:noProof/>
                <w:webHidden/>
              </w:rPr>
              <w:instrText xml:space="preserve"> PAGEREF _Toc95326269 \h </w:instrText>
            </w:r>
            <w:r>
              <w:rPr>
                <w:noProof/>
                <w:webHidden/>
              </w:rPr>
            </w:r>
            <w:r>
              <w:rPr>
                <w:noProof/>
                <w:webHidden/>
              </w:rPr>
              <w:fldChar w:fldCharType="separate"/>
            </w:r>
            <w:r>
              <w:rPr>
                <w:noProof/>
                <w:webHidden/>
              </w:rPr>
              <w:t>24</w:t>
            </w:r>
            <w:r>
              <w:rPr>
                <w:noProof/>
                <w:webHidden/>
              </w:rPr>
              <w:fldChar w:fldCharType="end"/>
            </w:r>
          </w:hyperlink>
        </w:p>
        <w:p w14:paraId="367765BE" w14:textId="13DEBC8D" w:rsidR="00D05FE3" w:rsidRDefault="00D05FE3">
          <w:pPr>
            <w:pStyle w:val="TOC1"/>
            <w:tabs>
              <w:tab w:val="right" w:leader="dot" w:pos="9016"/>
            </w:tabs>
            <w:rPr>
              <w:rFonts w:asciiTheme="minorHAnsi" w:eastAsiaTheme="minorEastAsia" w:hAnsiTheme="minorHAnsi" w:cstheme="minorBidi"/>
              <w:noProof/>
              <w:szCs w:val="22"/>
              <w:lang w:eastAsia="en-AU"/>
            </w:rPr>
          </w:pPr>
          <w:hyperlink w:anchor="_Toc95326270" w:history="1">
            <w:r w:rsidRPr="00F66855">
              <w:rPr>
                <w:rStyle w:val="Hyperlink"/>
                <w:noProof/>
              </w:rPr>
              <w:t>Chapter 4: ACT ACHIEVING OBJECTS</w:t>
            </w:r>
            <w:r>
              <w:rPr>
                <w:noProof/>
                <w:webHidden/>
              </w:rPr>
              <w:tab/>
            </w:r>
            <w:r>
              <w:rPr>
                <w:noProof/>
                <w:webHidden/>
              </w:rPr>
              <w:fldChar w:fldCharType="begin"/>
            </w:r>
            <w:r>
              <w:rPr>
                <w:noProof/>
                <w:webHidden/>
              </w:rPr>
              <w:instrText xml:space="preserve"> PAGEREF _Toc95326270 \h </w:instrText>
            </w:r>
            <w:r>
              <w:rPr>
                <w:noProof/>
                <w:webHidden/>
              </w:rPr>
            </w:r>
            <w:r>
              <w:rPr>
                <w:noProof/>
                <w:webHidden/>
              </w:rPr>
              <w:fldChar w:fldCharType="separate"/>
            </w:r>
            <w:r>
              <w:rPr>
                <w:noProof/>
                <w:webHidden/>
              </w:rPr>
              <w:t>26</w:t>
            </w:r>
            <w:r>
              <w:rPr>
                <w:noProof/>
                <w:webHidden/>
              </w:rPr>
              <w:fldChar w:fldCharType="end"/>
            </w:r>
          </w:hyperlink>
        </w:p>
        <w:p w14:paraId="1D86F867" w14:textId="6DABF536" w:rsidR="00D05FE3" w:rsidRDefault="00D05FE3">
          <w:pPr>
            <w:pStyle w:val="TOC2"/>
            <w:tabs>
              <w:tab w:val="right" w:leader="dot" w:pos="9016"/>
            </w:tabs>
            <w:rPr>
              <w:rFonts w:asciiTheme="minorHAnsi" w:eastAsiaTheme="minorEastAsia" w:hAnsiTheme="minorHAnsi" w:cstheme="minorBidi"/>
              <w:noProof/>
              <w:szCs w:val="22"/>
              <w:lang w:eastAsia="en-AU"/>
            </w:rPr>
          </w:pPr>
          <w:hyperlink w:anchor="_Toc95326271" w:history="1">
            <w:r w:rsidRPr="00F66855">
              <w:rPr>
                <w:rStyle w:val="Hyperlink"/>
                <w:noProof/>
              </w:rPr>
              <w:t>Object of Act being achieved</w:t>
            </w:r>
            <w:r>
              <w:rPr>
                <w:noProof/>
                <w:webHidden/>
              </w:rPr>
              <w:tab/>
            </w:r>
            <w:r>
              <w:rPr>
                <w:noProof/>
                <w:webHidden/>
              </w:rPr>
              <w:fldChar w:fldCharType="begin"/>
            </w:r>
            <w:r>
              <w:rPr>
                <w:noProof/>
                <w:webHidden/>
              </w:rPr>
              <w:instrText xml:space="preserve"> PAGEREF _Toc95326271 \h </w:instrText>
            </w:r>
            <w:r>
              <w:rPr>
                <w:noProof/>
                <w:webHidden/>
              </w:rPr>
            </w:r>
            <w:r>
              <w:rPr>
                <w:noProof/>
                <w:webHidden/>
              </w:rPr>
              <w:fldChar w:fldCharType="separate"/>
            </w:r>
            <w:r>
              <w:rPr>
                <w:noProof/>
                <w:webHidden/>
              </w:rPr>
              <w:t>26</w:t>
            </w:r>
            <w:r>
              <w:rPr>
                <w:noProof/>
                <w:webHidden/>
              </w:rPr>
              <w:fldChar w:fldCharType="end"/>
            </w:r>
          </w:hyperlink>
        </w:p>
        <w:p w14:paraId="5DF43ABE" w14:textId="24F07F6F" w:rsidR="00D05FE3" w:rsidRDefault="00D05FE3">
          <w:pPr>
            <w:pStyle w:val="TOC2"/>
            <w:tabs>
              <w:tab w:val="right" w:leader="dot" w:pos="9016"/>
            </w:tabs>
            <w:rPr>
              <w:rFonts w:asciiTheme="minorHAnsi" w:eastAsiaTheme="minorEastAsia" w:hAnsiTheme="minorHAnsi" w:cstheme="minorBidi"/>
              <w:noProof/>
              <w:szCs w:val="22"/>
              <w:lang w:eastAsia="en-AU"/>
            </w:rPr>
          </w:pPr>
          <w:hyperlink w:anchor="_Toc95326272" w:history="1">
            <w:r w:rsidRPr="00F66855">
              <w:rPr>
                <w:rStyle w:val="Hyperlink"/>
                <w:noProof/>
              </w:rPr>
              <w:t>An appropriate regulatory framework</w:t>
            </w:r>
            <w:r>
              <w:rPr>
                <w:noProof/>
                <w:webHidden/>
              </w:rPr>
              <w:tab/>
            </w:r>
            <w:r>
              <w:rPr>
                <w:noProof/>
                <w:webHidden/>
              </w:rPr>
              <w:fldChar w:fldCharType="begin"/>
            </w:r>
            <w:r>
              <w:rPr>
                <w:noProof/>
                <w:webHidden/>
              </w:rPr>
              <w:instrText xml:space="preserve"> PAGEREF _Toc95326272 \h </w:instrText>
            </w:r>
            <w:r>
              <w:rPr>
                <w:noProof/>
                <w:webHidden/>
              </w:rPr>
            </w:r>
            <w:r>
              <w:rPr>
                <w:noProof/>
                <w:webHidden/>
              </w:rPr>
              <w:fldChar w:fldCharType="separate"/>
            </w:r>
            <w:r>
              <w:rPr>
                <w:noProof/>
                <w:webHidden/>
              </w:rPr>
              <w:t>26</w:t>
            </w:r>
            <w:r>
              <w:rPr>
                <w:noProof/>
                <w:webHidden/>
              </w:rPr>
              <w:fldChar w:fldCharType="end"/>
            </w:r>
          </w:hyperlink>
        </w:p>
        <w:p w14:paraId="7D7E751E" w14:textId="56407983" w:rsidR="00D05FE3" w:rsidRDefault="00D05FE3">
          <w:pPr>
            <w:pStyle w:val="TOC2"/>
            <w:tabs>
              <w:tab w:val="right" w:leader="dot" w:pos="9016"/>
            </w:tabs>
            <w:rPr>
              <w:rFonts w:asciiTheme="minorHAnsi" w:eastAsiaTheme="minorEastAsia" w:hAnsiTheme="minorHAnsi" w:cstheme="minorBidi"/>
              <w:noProof/>
              <w:szCs w:val="22"/>
              <w:lang w:eastAsia="en-AU"/>
            </w:rPr>
          </w:pPr>
          <w:hyperlink w:anchor="_Toc95326273" w:history="1">
            <w:r w:rsidRPr="00F66855">
              <w:rPr>
                <w:rStyle w:val="Hyperlink"/>
                <w:noProof/>
              </w:rPr>
              <w:t>Application of the precautionary principle</w:t>
            </w:r>
            <w:r>
              <w:rPr>
                <w:noProof/>
                <w:webHidden/>
              </w:rPr>
              <w:tab/>
            </w:r>
            <w:r>
              <w:rPr>
                <w:noProof/>
                <w:webHidden/>
              </w:rPr>
              <w:fldChar w:fldCharType="begin"/>
            </w:r>
            <w:r>
              <w:rPr>
                <w:noProof/>
                <w:webHidden/>
              </w:rPr>
              <w:instrText xml:space="preserve"> PAGEREF _Toc95326273 \h </w:instrText>
            </w:r>
            <w:r>
              <w:rPr>
                <w:noProof/>
                <w:webHidden/>
              </w:rPr>
            </w:r>
            <w:r>
              <w:rPr>
                <w:noProof/>
                <w:webHidden/>
              </w:rPr>
              <w:fldChar w:fldCharType="separate"/>
            </w:r>
            <w:r>
              <w:rPr>
                <w:noProof/>
                <w:webHidden/>
              </w:rPr>
              <w:t>26</w:t>
            </w:r>
            <w:r>
              <w:rPr>
                <w:noProof/>
                <w:webHidden/>
              </w:rPr>
              <w:fldChar w:fldCharType="end"/>
            </w:r>
          </w:hyperlink>
        </w:p>
        <w:p w14:paraId="776007E4" w14:textId="608370D7" w:rsidR="00D05FE3" w:rsidRDefault="00D05FE3">
          <w:pPr>
            <w:pStyle w:val="TOC2"/>
            <w:tabs>
              <w:tab w:val="right" w:leader="dot" w:pos="9016"/>
            </w:tabs>
            <w:rPr>
              <w:rFonts w:asciiTheme="minorHAnsi" w:eastAsiaTheme="minorEastAsia" w:hAnsiTheme="minorHAnsi" w:cstheme="minorBidi"/>
              <w:noProof/>
              <w:szCs w:val="22"/>
              <w:lang w:eastAsia="en-AU"/>
            </w:rPr>
          </w:pPr>
          <w:hyperlink w:anchor="_Toc95326274" w:history="1">
            <w:r w:rsidRPr="00F66855">
              <w:rPr>
                <w:rStyle w:val="Hyperlink"/>
                <w:noProof/>
              </w:rPr>
              <w:t>Strict liability for contamination</w:t>
            </w:r>
            <w:r>
              <w:rPr>
                <w:noProof/>
                <w:webHidden/>
              </w:rPr>
              <w:tab/>
            </w:r>
            <w:r>
              <w:rPr>
                <w:noProof/>
                <w:webHidden/>
              </w:rPr>
              <w:fldChar w:fldCharType="begin"/>
            </w:r>
            <w:r>
              <w:rPr>
                <w:noProof/>
                <w:webHidden/>
              </w:rPr>
              <w:instrText xml:space="preserve"> PAGEREF _Toc95326274 \h </w:instrText>
            </w:r>
            <w:r>
              <w:rPr>
                <w:noProof/>
                <w:webHidden/>
              </w:rPr>
            </w:r>
            <w:r>
              <w:rPr>
                <w:noProof/>
                <w:webHidden/>
              </w:rPr>
              <w:fldChar w:fldCharType="separate"/>
            </w:r>
            <w:r>
              <w:rPr>
                <w:noProof/>
                <w:webHidden/>
              </w:rPr>
              <w:t>28</w:t>
            </w:r>
            <w:r>
              <w:rPr>
                <w:noProof/>
                <w:webHidden/>
              </w:rPr>
              <w:fldChar w:fldCharType="end"/>
            </w:r>
          </w:hyperlink>
        </w:p>
        <w:p w14:paraId="3A1BA9BE" w14:textId="0D5F510A" w:rsidR="00D05FE3" w:rsidRDefault="00D05FE3">
          <w:pPr>
            <w:pStyle w:val="TOC2"/>
            <w:tabs>
              <w:tab w:val="right" w:leader="dot" w:pos="9016"/>
            </w:tabs>
            <w:rPr>
              <w:rFonts w:asciiTheme="minorHAnsi" w:eastAsiaTheme="minorEastAsia" w:hAnsiTheme="minorHAnsi" w:cstheme="minorBidi"/>
              <w:noProof/>
              <w:szCs w:val="22"/>
              <w:lang w:eastAsia="en-AU"/>
            </w:rPr>
          </w:pPr>
          <w:hyperlink w:anchor="_Toc95326275" w:history="1">
            <w:r w:rsidRPr="00F66855">
              <w:rPr>
                <w:rStyle w:val="Hyperlink"/>
                <w:noProof/>
              </w:rPr>
              <w:t>Compensation fund</w:t>
            </w:r>
            <w:r>
              <w:rPr>
                <w:noProof/>
                <w:webHidden/>
              </w:rPr>
              <w:tab/>
            </w:r>
            <w:r>
              <w:rPr>
                <w:noProof/>
                <w:webHidden/>
              </w:rPr>
              <w:fldChar w:fldCharType="begin"/>
            </w:r>
            <w:r>
              <w:rPr>
                <w:noProof/>
                <w:webHidden/>
              </w:rPr>
              <w:instrText xml:space="preserve"> PAGEREF _Toc95326275 \h </w:instrText>
            </w:r>
            <w:r>
              <w:rPr>
                <w:noProof/>
                <w:webHidden/>
              </w:rPr>
            </w:r>
            <w:r>
              <w:rPr>
                <w:noProof/>
                <w:webHidden/>
              </w:rPr>
              <w:fldChar w:fldCharType="separate"/>
            </w:r>
            <w:r>
              <w:rPr>
                <w:noProof/>
                <w:webHidden/>
              </w:rPr>
              <w:t>29</w:t>
            </w:r>
            <w:r>
              <w:rPr>
                <w:noProof/>
                <w:webHidden/>
              </w:rPr>
              <w:fldChar w:fldCharType="end"/>
            </w:r>
          </w:hyperlink>
        </w:p>
        <w:p w14:paraId="524BB7DD" w14:textId="33ADEFD3" w:rsidR="00D05FE3" w:rsidRDefault="00D05FE3">
          <w:pPr>
            <w:pStyle w:val="TOC2"/>
            <w:tabs>
              <w:tab w:val="right" w:leader="dot" w:pos="9016"/>
            </w:tabs>
            <w:rPr>
              <w:rFonts w:asciiTheme="minorHAnsi" w:eastAsiaTheme="minorEastAsia" w:hAnsiTheme="minorHAnsi" w:cstheme="minorBidi"/>
              <w:noProof/>
              <w:szCs w:val="22"/>
              <w:lang w:eastAsia="en-AU"/>
            </w:rPr>
          </w:pPr>
          <w:hyperlink w:anchor="_Toc95326276" w:history="1">
            <w:r w:rsidRPr="00F66855">
              <w:rPr>
                <w:rStyle w:val="Hyperlink"/>
                <w:noProof/>
              </w:rPr>
              <w:t>Mandatory insurance for GMOs</w:t>
            </w:r>
            <w:r>
              <w:rPr>
                <w:noProof/>
                <w:webHidden/>
              </w:rPr>
              <w:tab/>
            </w:r>
            <w:r>
              <w:rPr>
                <w:noProof/>
                <w:webHidden/>
              </w:rPr>
              <w:fldChar w:fldCharType="begin"/>
            </w:r>
            <w:r>
              <w:rPr>
                <w:noProof/>
                <w:webHidden/>
              </w:rPr>
              <w:instrText xml:space="preserve"> PAGEREF _Toc95326276 \h </w:instrText>
            </w:r>
            <w:r>
              <w:rPr>
                <w:noProof/>
                <w:webHidden/>
              </w:rPr>
            </w:r>
            <w:r>
              <w:rPr>
                <w:noProof/>
                <w:webHidden/>
              </w:rPr>
              <w:fldChar w:fldCharType="separate"/>
            </w:r>
            <w:r>
              <w:rPr>
                <w:noProof/>
                <w:webHidden/>
              </w:rPr>
              <w:t>30</w:t>
            </w:r>
            <w:r>
              <w:rPr>
                <w:noProof/>
                <w:webHidden/>
              </w:rPr>
              <w:fldChar w:fldCharType="end"/>
            </w:r>
          </w:hyperlink>
        </w:p>
        <w:p w14:paraId="3DD96AF5" w14:textId="17BE7177" w:rsidR="00D05FE3" w:rsidRDefault="00D05FE3">
          <w:pPr>
            <w:pStyle w:val="TOC2"/>
            <w:tabs>
              <w:tab w:val="right" w:leader="dot" w:pos="9016"/>
            </w:tabs>
            <w:rPr>
              <w:rFonts w:asciiTheme="minorHAnsi" w:eastAsiaTheme="minorEastAsia" w:hAnsiTheme="minorHAnsi" w:cstheme="minorBidi"/>
              <w:noProof/>
              <w:szCs w:val="22"/>
              <w:lang w:eastAsia="en-AU"/>
            </w:rPr>
          </w:pPr>
          <w:hyperlink w:anchor="_Toc95326277" w:history="1">
            <w:r w:rsidRPr="00F66855">
              <w:rPr>
                <w:rStyle w:val="Hyperlink"/>
                <w:noProof/>
              </w:rPr>
              <w:t>Emergency approvals</w:t>
            </w:r>
            <w:r>
              <w:rPr>
                <w:noProof/>
                <w:webHidden/>
              </w:rPr>
              <w:tab/>
            </w:r>
            <w:r>
              <w:rPr>
                <w:noProof/>
                <w:webHidden/>
              </w:rPr>
              <w:fldChar w:fldCharType="begin"/>
            </w:r>
            <w:r>
              <w:rPr>
                <w:noProof/>
                <w:webHidden/>
              </w:rPr>
              <w:instrText xml:space="preserve"> PAGEREF _Toc95326277 \h </w:instrText>
            </w:r>
            <w:r>
              <w:rPr>
                <w:noProof/>
                <w:webHidden/>
              </w:rPr>
            </w:r>
            <w:r>
              <w:rPr>
                <w:noProof/>
                <w:webHidden/>
              </w:rPr>
              <w:fldChar w:fldCharType="separate"/>
            </w:r>
            <w:r>
              <w:rPr>
                <w:noProof/>
                <w:webHidden/>
              </w:rPr>
              <w:t>31</w:t>
            </w:r>
            <w:r>
              <w:rPr>
                <w:noProof/>
                <w:webHidden/>
              </w:rPr>
              <w:fldChar w:fldCharType="end"/>
            </w:r>
          </w:hyperlink>
        </w:p>
        <w:p w14:paraId="58E91264" w14:textId="7AD76444" w:rsidR="00D05FE3" w:rsidRDefault="00D05FE3">
          <w:pPr>
            <w:pStyle w:val="TOC2"/>
            <w:tabs>
              <w:tab w:val="right" w:leader="dot" w:pos="9016"/>
            </w:tabs>
            <w:rPr>
              <w:rFonts w:asciiTheme="minorHAnsi" w:eastAsiaTheme="minorEastAsia" w:hAnsiTheme="minorHAnsi" w:cstheme="minorBidi"/>
              <w:noProof/>
              <w:szCs w:val="22"/>
              <w:lang w:eastAsia="en-AU"/>
            </w:rPr>
          </w:pPr>
          <w:hyperlink w:anchor="_Toc95326278" w:history="1">
            <w:r w:rsidRPr="00F66855">
              <w:rPr>
                <w:rStyle w:val="Hyperlink"/>
                <w:noProof/>
              </w:rPr>
              <w:t>Rights of appeal and review</w:t>
            </w:r>
            <w:r>
              <w:rPr>
                <w:noProof/>
                <w:webHidden/>
              </w:rPr>
              <w:tab/>
            </w:r>
            <w:r>
              <w:rPr>
                <w:noProof/>
                <w:webHidden/>
              </w:rPr>
              <w:fldChar w:fldCharType="begin"/>
            </w:r>
            <w:r>
              <w:rPr>
                <w:noProof/>
                <w:webHidden/>
              </w:rPr>
              <w:instrText xml:space="preserve"> PAGEREF _Toc95326278 \h </w:instrText>
            </w:r>
            <w:r>
              <w:rPr>
                <w:noProof/>
                <w:webHidden/>
              </w:rPr>
            </w:r>
            <w:r>
              <w:rPr>
                <w:noProof/>
                <w:webHidden/>
              </w:rPr>
              <w:fldChar w:fldCharType="separate"/>
            </w:r>
            <w:r>
              <w:rPr>
                <w:noProof/>
                <w:webHidden/>
              </w:rPr>
              <w:t>32</w:t>
            </w:r>
            <w:r>
              <w:rPr>
                <w:noProof/>
                <w:webHidden/>
              </w:rPr>
              <w:fldChar w:fldCharType="end"/>
            </w:r>
          </w:hyperlink>
        </w:p>
        <w:p w14:paraId="00737AEC" w14:textId="19538D0E" w:rsidR="00D05FE3" w:rsidRDefault="00D05FE3">
          <w:pPr>
            <w:pStyle w:val="TOC2"/>
            <w:tabs>
              <w:tab w:val="right" w:leader="dot" w:pos="9016"/>
            </w:tabs>
            <w:rPr>
              <w:rFonts w:asciiTheme="minorHAnsi" w:eastAsiaTheme="minorEastAsia" w:hAnsiTheme="minorHAnsi" w:cstheme="minorBidi"/>
              <w:noProof/>
              <w:szCs w:val="22"/>
              <w:lang w:eastAsia="en-AU"/>
            </w:rPr>
          </w:pPr>
          <w:hyperlink w:anchor="_Toc95326279" w:history="1">
            <w:r w:rsidRPr="00F66855">
              <w:rPr>
                <w:rStyle w:val="Hyperlink"/>
                <w:noProof/>
              </w:rPr>
              <w:t>The type of data required by the Regulator</w:t>
            </w:r>
            <w:r>
              <w:rPr>
                <w:noProof/>
                <w:webHidden/>
              </w:rPr>
              <w:tab/>
            </w:r>
            <w:r>
              <w:rPr>
                <w:noProof/>
                <w:webHidden/>
              </w:rPr>
              <w:fldChar w:fldCharType="begin"/>
            </w:r>
            <w:r>
              <w:rPr>
                <w:noProof/>
                <w:webHidden/>
              </w:rPr>
              <w:instrText xml:space="preserve"> PAGEREF _Toc95326279 \h </w:instrText>
            </w:r>
            <w:r>
              <w:rPr>
                <w:noProof/>
                <w:webHidden/>
              </w:rPr>
            </w:r>
            <w:r>
              <w:rPr>
                <w:noProof/>
                <w:webHidden/>
              </w:rPr>
              <w:fldChar w:fldCharType="separate"/>
            </w:r>
            <w:r>
              <w:rPr>
                <w:noProof/>
                <w:webHidden/>
              </w:rPr>
              <w:t>33</w:t>
            </w:r>
            <w:r>
              <w:rPr>
                <w:noProof/>
                <w:webHidden/>
              </w:rPr>
              <w:fldChar w:fldCharType="end"/>
            </w:r>
          </w:hyperlink>
        </w:p>
        <w:p w14:paraId="693F551F" w14:textId="2B5FF6DE" w:rsidR="00D05FE3" w:rsidRDefault="00D05FE3">
          <w:pPr>
            <w:pStyle w:val="TOC2"/>
            <w:tabs>
              <w:tab w:val="right" w:leader="dot" w:pos="9016"/>
            </w:tabs>
            <w:rPr>
              <w:rFonts w:asciiTheme="minorHAnsi" w:eastAsiaTheme="minorEastAsia" w:hAnsiTheme="minorHAnsi" w:cstheme="minorBidi"/>
              <w:noProof/>
              <w:szCs w:val="22"/>
              <w:lang w:eastAsia="en-AU"/>
            </w:rPr>
          </w:pPr>
          <w:hyperlink w:anchor="_Toc95326280" w:history="1">
            <w:r w:rsidRPr="00F66855">
              <w:rPr>
                <w:rStyle w:val="Hyperlink"/>
                <w:noProof/>
              </w:rPr>
              <w:t>Access to information</w:t>
            </w:r>
            <w:r>
              <w:rPr>
                <w:noProof/>
                <w:webHidden/>
              </w:rPr>
              <w:tab/>
            </w:r>
            <w:r>
              <w:rPr>
                <w:noProof/>
                <w:webHidden/>
              </w:rPr>
              <w:fldChar w:fldCharType="begin"/>
            </w:r>
            <w:r>
              <w:rPr>
                <w:noProof/>
                <w:webHidden/>
              </w:rPr>
              <w:instrText xml:space="preserve"> PAGEREF _Toc95326280 \h </w:instrText>
            </w:r>
            <w:r>
              <w:rPr>
                <w:noProof/>
                <w:webHidden/>
              </w:rPr>
            </w:r>
            <w:r>
              <w:rPr>
                <w:noProof/>
                <w:webHidden/>
              </w:rPr>
              <w:fldChar w:fldCharType="separate"/>
            </w:r>
            <w:r>
              <w:rPr>
                <w:noProof/>
                <w:webHidden/>
              </w:rPr>
              <w:t>35</w:t>
            </w:r>
            <w:r>
              <w:rPr>
                <w:noProof/>
                <w:webHidden/>
              </w:rPr>
              <w:fldChar w:fldCharType="end"/>
            </w:r>
          </w:hyperlink>
        </w:p>
        <w:p w14:paraId="3DB1789B" w14:textId="5D4ADA5B" w:rsidR="00D05FE3" w:rsidRDefault="00D05FE3">
          <w:pPr>
            <w:pStyle w:val="TOC2"/>
            <w:tabs>
              <w:tab w:val="right" w:leader="dot" w:pos="9016"/>
            </w:tabs>
            <w:rPr>
              <w:rFonts w:asciiTheme="minorHAnsi" w:eastAsiaTheme="minorEastAsia" w:hAnsiTheme="minorHAnsi" w:cstheme="minorBidi"/>
              <w:noProof/>
              <w:szCs w:val="22"/>
              <w:lang w:eastAsia="en-AU"/>
            </w:rPr>
          </w:pPr>
          <w:hyperlink w:anchor="_Toc95326281" w:history="1">
            <w:r w:rsidRPr="00F66855">
              <w:rPr>
                <w:rStyle w:val="Hyperlink"/>
                <w:noProof/>
              </w:rPr>
              <w:t>Regulator’s technical amendments</w:t>
            </w:r>
            <w:r>
              <w:rPr>
                <w:noProof/>
                <w:webHidden/>
              </w:rPr>
              <w:tab/>
            </w:r>
            <w:r>
              <w:rPr>
                <w:noProof/>
                <w:webHidden/>
              </w:rPr>
              <w:fldChar w:fldCharType="begin"/>
            </w:r>
            <w:r>
              <w:rPr>
                <w:noProof/>
                <w:webHidden/>
              </w:rPr>
              <w:instrText xml:space="preserve"> PAGEREF _Toc95326281 \h </w:instrText>
            </w:r>
            <w:r>
              <w:rPr>
                <w:noProof/>
                <w:webHidden/>
              </w:rPr>
            </w:r>
            <w:r>
              <w:rPr>
                <w:noProof/>
                <w:webHidden/>
              </w:rPr>
              <w:fldChar w:fldCharType="separate"/>
            </w:r>
            <w:r>
              <w:rPr>
                <w:noProof/>
                <w:webHidden/>
              </w:rPr>
              <w:t>35</w:t>
            </w:r>
            <w:r>
              <w:rPr>
                <w:noProof/>
                <w:webHidden/>
              </w:rPr>
              <w:fldChar w:fldCharType="end"/>
            </w:r>
          </w:hyperlink>
        </w:p>
        <w:p w14:paraId="5C6C984A" w14:textId="2B0193C0" w:rsidR="00D05FE3" w:rsidRDefault="00D05FE3">
          <w:pPr>
            <w:pStyle w:val="TOC1"/>
            <w:tabs>
              <w:tab w:val="right" w:leader="dot" w:pos="9016"/>
            </w:tabs>
            <w:rPr>
              <w:rFonts w:asciiTheme="minorHAnsi" w:eastAsiaTheme="minorEastAsia" w:hAnsiTheme="minorHAnsi" w:cstheme="minorBidi"/>
              <w:noProof/>
              <w:szCs w:val="22"/>
              <w:lang w:eastAsia="en-AU"/>
            </w:rPr>
          </w:pPr>
          <w:hyperlink w:anchor="_Toc95326282" w:history="1">
            <w:r w:rsidRPr="00F66855">
              <w:rPr>
                <w:rStyle w:val="Hyperlink"/>
                <w:noProof/>
              </w:rPr>
              <w:t>Chapter 5: OPERATION OF THE ACT</w:t>
            </w:r>
            <w:r>
              <w:rPr>
                <w:noProof/>
                <w:webHidden/>
              </w:rPr>
              <w:tab/>
            </w:r>
            <w:r>
              <w:rPr>
                <w:noProof/>
                <w:webHidden/>
              </w:rPr>
              <w:fldChar w:fldCharType="begin"/>
            </w:r>
            <w:r>
              <w:rPr>
                <w:noProof/>
                <w:webHidden/>
              </w:rPr>
              <w:instrText xml:space="preserve"> PAGEREF _Toc95326282 \h </w:instrText>
            </w:r>
            <w:r>
              <w:rPr>
                <w:noProof/>
                <w:webHidden/>
              </w:rPr>
            </w:r>
            <w:r>
              <w:rPr>
                <w:noProof/>
                <w:webHidden/>
              </w:rPr>
              <w:fldChar w:fldCharType="separate"/>
            </w:r>
            <w:r>
              <w:rPr>
                <w:noProof/>
                <w:webHidden/>
              </w:rPr>
              <w:t>36</w:t>
            </w:r>
            <w:r>
              <w:rPr>
                <w:noProof/>
                <w:webHidden/>
              </w:rPr>
              <w:fldChar w:fldCharType="end"/>
            </w:r>
          </w:hyperlink>
        </w:p>
        <w:p w14:paraId="4D1B41BF" w14:textId="69EE98DD" w:rsidR="00D05FE3" w:rsidRDefault="00D05FE3">
          <w:pPr>
            <w:pStyle w:val="TOC2"/>
            <w:tabs>
              <w:tab w:val="right" w:leader="dot" w:pos="9016"/>
            </w:tabs>
            <w:rPr>
              <w:rFonts w:asciiTheme="minorHAnsi" w:eastAsiaTheme="minorEastAsia" w:hAnsiTheme="minorHAnsi" w:cstheme="minorBidi"/>
              <w:noProof/>
              <w:szCs w:val="22"/>
              <w:lang w:eastAsia="en-AU"/>
            </w:rPr>
          </w:pPr>
          <w:hyperlink w:anchor="_Toc95326283" w:history="1">
            <w:r w:rsidRPr="00F66855">
              <w:rPr>
                <w:rStyle w:val="Hyperlink"/>
                <w:noProof/>
              </w:rPr>
              <w:t>The Regulator’s interpretation of ‘environment’</w:t>
            </w:r>
            <w:r>
              <w:rPr>
                <w:noProof/>
                <w:webHidden/>
              </w:rPr>
              <w:tab/>
            </w:r>
            <w:r>
              <w:rPr>
                <w:noProof/>
                <w:webHidden/>
              </w:rPr>
              <w:fldChar w:fldCharType="begin"/>
            </w:r>
            <w:r>
              <w:rPr>
                <w:noProof/>
                <w:webHidden/>
              </w:rPr>
              <w:instrText xml:space="preserve"> PAGEREF _Toc95326283 \h </w:instrText>
            </w:r>
            <w:r>
              <w:rPr>
                <w:noProof/>
                <w:webHidden/>
              </w:rPr>
            </w:r>
            <w:r>
              <w:rPr>
                <w:noProof/>
                <w:webHidden/>
              </w:rPr>
              <w:fldChar w:fldCharType="separate"/>
            </w:r>
            <w:r>
              <w:rPr>
                <w:noProof/>
                <w:webHidden/>
              </w:rPr>
              <w:t>37</w:t>
            </w:r>
            <w:r>
              <w:rPr>
                <w:noProof/>
                <w:webHidden/>
              </w:rPr>
              <w:fldChar w:fldCharType="end"/>
            </w:r>
          </w:hyperlink>
        </w:p>
        <w:p w14:paraId="29B627B0" w14:textId="22B5AE3B" w:rsidR="00D05FE3" w:rsidRDefault="00D05FE3">
          <w:pPr>
            <w:pStyle w:val="TOC2"/>
            <w:tabs>
              <w:tab w:val="right" w:leader="dot" w:pos="9016"/>
            </w:tabs>
            <w:rPr>
              <w:rFonts w:asciiTheme="minorHAnsi" w:eastAsiaTheme="minorEastAsia" w:hAnsiTheme="minorHAnsi" w:cstheme="minorBidi"/>
              <w:noProof/>
              <w:szCs w:val="22"/>
              <w:lang w:eastAsia="en-AU"/>
            </w:rPr>
          </w:pPr>
          <w:hyperlink w:anchor="_Toc95326284" w:history="1">
            <w:r w:rsidRPr="00F66855">
              <w:rPr>
                <w:rStyle w:val="Hyperlink"/>
                <w:noProof/>
              </w:rPr>
              <w:t>How the Regulator deals with public health risks</w:t>
            </w:r>
            <w:r>
              <w:rPr>
                <w:noProof/>
                <w:webHidden/>
              </w:rPr>
              <w:tab/>
            </w:r>
            <w:r>
              <w:rPr>
                <w:noProof/>
                <w:webHidden/>
              </w:rPr>
              <w:fldChar w:fldCharType="begin"/>
            </w:r>
            <w:r>
              <w:rPr>
                <w:noProof/>
                <w:webHidden/>
              </w:rPr>
              <w:instrText xml:space="preserve"> PAGEREF _Toc95326284 \h </w:instrText>
            </w:r>
            <w:r>
              <w:rPr>
                <w:noProof/>
                <w:webHidden/>
              </w:rPr>
            </w:r>
            <w:r>
              <w:rPr>
                <w:noProof/>
                <w:webHidden/>
              </w:rPr>
              <w:fldChar w:fldCharType="separate"/>
            </w:r>
            <w:r>
              <w:rPr>
                <w:noProof/>
                <w:webHidden/>
              </w:rPr>
              <w:t>37</w:t>
            </w:r>
            <w:r>
              <w:rPr>
                <w:noProof/>
                <w:webHidden/>
              </w:rPr>
              <w:fldChar w:fldCharType="end"/>
            </w:r>
          </w:hyperlink>
        </w:p>
        <w:p w14:paraId="4C1D429C" w14:textId="091D9439" w:rsidR="00D05FE3" w:rsidRDefault="00D05FE3">
          <w:pPr>
            <w:pStyle w:val="TOC2"/>
            <w:tabs>
              <w:tab w:val="right" w:leader="dot" w:pos="9016"/>
            </w:tabs>
            <w:rPr>
              <w:rFonts w:asciiTheme="minorHAnsi" w:eastAsiaTheme="minorEastAsia" w:hAnsiTheme="minorHAnsi" w:cstheme="minorBidi"/>
              <w:noProof/>
              <w:szCs w:val="22"/>
              <w:lang w:eastAsia="en-AU"/>
            </w:rPr>
          </w:pPr>
          <w:hyperlink w:anchor="_Toc95326285" w:history="1">
            <w:r w:rsidRPr="00F66855">
              <w:rPr>
                <w:rStyle w:val="Hyperlink"/>
                <w:noProof/>
              </w:rPr>
              <w:t>ToR 4 — The Regulator’s role in providing information</w:t>
            </w:r>
            <w:r>
              <w:rPr>
                <w:noProof/>
                <w:webHidden/>
              </w:rPr>
              <w:tab/>
            </w:r>
            <w:r>
              <w:rPr>
                <w:noProof/>
                <w:webHidden/>
              </w:rPr>
              <w:fldChar w:fldCharType="begin"/>
            </w:r>
            <w:r>
              <w:rPr>
                <w:noProof/>
                <w:webHidden/>
              </w:rPr>
              <w:instrText xml:space="preserve"> PAGEREF _Toc95326285 \h </w:instrText>
            </w:r>
            <w:r>
              <w:rPr>
                <w:noProof/>
                <w:webHidden/>
              </w:rPr>
            </w:r>
            <w:r>
              <w:rPr>
                <w:noProof/>
                <w:webHidden/>
              </w:rPr>
              <w:fldChar w:fldCharType="separate"/>
            </w:r>
            <w:r>
              <w:rPr>
                <w:noProof/>
                <w:webHidden/>
              </w:rPr>
              <w:t>38</w:t>
            </w:r>
            <w:r>
              <w:rPr>
                <w:noProof/>
                <w:webHidden/>
              </w:rPr>
              <w:fldChar w:fldCharType="end"/>
            </w:r>
          </w:hyperlink>
        </w:p>
        <w:p w14:paraId="199132F1" w14:textId="036C1951" w:rsidR="00D05FE3" w:rsidRDefault="00D05FE3">
          <w:pPr>
            <w:pStyle w:val="TOC2"/>
            <w:tabs>
              <w:tab w:val="right" w:leader="dot" w:pos="9016"/>
            </w:tabs>
            <w:rPr>
              <w:rFonts w:asciiTheme="minorHAnsi" w:eastAsiaTheme="minorEastAsia" w:hAnsiTheme="minorHAnsi" w:cstheme="minorBidi"/>
              <w:noProof/>
              <w:szCs w:val="22"/>
              <w:lang w:eastAsia="en-AU"/>
            </w:rPr>
          </w:pPr>
          <w:hyperlink w:anchor="_Toc95326286" w:history="1">
            <w:r w:rsidRPr="00F66855">
              <w:rPr>
                <w:rStyle w:val="Hyperlink"/>
                <w:noProof/>
              </w:rPr>
              <w:t>Statutory advisory committees</w:t>
            </w:r>
            <w:r>
              <w:rPr>
                <w:noProof/>
                <w:webHidden/>
              </w:rPr>
              <w:tab/>
            </w:r>
            <w:r>
              <w:rPr>
                <w:noProof/>
                <w:webHidden/>
              </w:rPr>
              <w:fldChar w:fldCharType="begin"/>
            </w:r>
            <w:r>
              <w:rPr>
                <w:noProof/>
                <w:webHidden/>
              </w:rPr>
              <w:instrText xml:space="preserve"> PAGEREF _Toc95326286 \h </w:instrText>
            </w:r>
            <w:r>
              <w:rPr>
                <w:noProof/>
                <w:webHidden/>
              </w:rPr>
            </w:r>
            <w:r>
              <w:rPr>
                <w:noProof/>
                <w:webHidden/>
              </w:rPr>
              <w:fldChar w:fldCharType="separate"/>
            </w:r>
            <w:r>
              <w:rPr>
                <w:noProof/>
                <w:webHidden/>
              </w:rPr>
              <w:t>38</w:t>
            </w:r>
            <w:r>
              <w:rPr>
                <w:noProof/>
                <w:webHidden/>
              </w:rPr>
              <w:fldChar w:fldCharType="end"/>
            </w:r>
          </w:hyperlink>
        </w:p>
        <w:p w14:paraId="725BF9FA" w14:textId="6B461C16" w:rsidR="00D05FE3" w:rsidRDefault="00D05FE3">
          <w:pPr>
            <w:pStyle w:val="TOC2"/>
            <w:tabs>
              <w:tab w:val="right" w:leader="dot" w:pos="9016"/>
            </w:tabs>
            <w:rPr>
              <w:rFonts w:asciiTheme="minorHAnsi" w:eastAsiaTheme="minorEastAsia" w:hAnsiTheme="minorHAnsi" w:cstheme="minorBidi"/>
              <w:noProof/>
              <w:szCs w:val="22"/>
              <w:lang w:eastAsia="en-AU"/>
            </w:rPr>
          </w:pPr>
          <w:hyperlink w:anchor="_Toc95326287" w:history="1">
            <w:r w:rsidRPr="00F66855">
              <w:rPr>
                <w:rStyle w:val="Hyperlink"/>
                <w:noProof/>
              </w:rPr>
              <w:t>Roles and functions</w:t>
            </w:r>
            <w:r>
              <w:rPr>
                <w:noProof/>
                <w:webHidden/>
              </w:rPr>
              <w:tab/>
            </w:r>
            <w:r>
              <w:rPr>
                <w:noProof/>
                <w:webHidden/>
              </w:rPr>
              <w:fldChar w:fldCharType="begin"/>
            </w:r>
            <w:r>
              <w:rPr>
                <w:noProof/>
                <w:webHidden/>
              </w:rPr>
              <w:instrText xml:space="preserve"> PAGEREF _Toc95326287 \h </w:instrText>
            </w:r>
            <w:r>
              <w:rPr>
                <w:noProof/>
                <w:webHidden/>
              </w:rPr>
            </w:r>
            <w:r>
              <w:rPr>
                <w:noProof/>
                <w:webHidden/>
              </w:rPr>
              <w:fldChar w:fldCharType="separate"/>
            </w:r>
            <w:r>
              <w:rPr>
                <w:noProof/>
                <w:webHidden/>
              </w:rPr>
              <w:t>38</w:t>
            </w:r>
            <w:r>
              <w:rPr>
                <w:noProof/>
                <w:webHidden/>
              </w:rPr>
              <w:fldChar w:fldCharType="end"/>
            </w:r>
          </w:hyperlink>
        </w:p>
        <w:p w14:paraId="4D91CF06" w14:textId="5BB3B0F5" w:rsidR="00D05FE3" w:rsidRDefault="00D05FE3">
          <w:pPr>
            <w:pStyle w:val="TOC2"/>
            <w:tabs>
              <w:tab w:val="right" w:leader="dot" w:pos="9016"/>
            </w:tabs>
            <w:rPr>
              <w:rFonts w:asciiTheme="minorHAnsi" w:eastAsiaTheme="minorEastAsia" w:hAnsiTheme="minorHAnsi" w:cstheme="minorBidi"/>
              <w:noProof/>
              <w:szCs w:val="22"/>
              <w:lang w:eastAsia="en-AU"/>
            </w:rPr>
          </w:pPr>
          <w:hyperlink w:anchor="_Toc95326288" w:history="1">
            <w:r w:rsidRPr="00F66855">
              <w:rPr>
                <w:rStyle w:val="Hyperlink"/>
                <w:noProof/>
              </w:rPr>
              <w:t>Stakeholders consulted on applications</w:t>
            </w:r>
            <w:r>
              <w:rPr>
                <w:noProof/>
                <w:webHidden/>
              </w:rPr>
              <w:tab/>
            </w:r>
            <w:r>
              <w:rPr>
                <w:noProof/>
                <w:webHidden/>
              </w:rPr>
              <w:fldChar w:fldCharType="begin"/>
            </w:r>
            <w:r>
              <w:rPr>
                <w:noProof/>
                <w:webHidden/>
              </w:rPr>
              <w:instrText xml:space="preserve"> PAGEREF _Toc95326288 \h </w:instrText>
            </w:r>
            <w:r>
              <w:rPr>
                <w:noProof/>
                <w:webHidden/>
              </w:rPr>
            </w:r>
            <w:r>
              <w:rPr>
                <w:noProof/>
                <w:webHidden/>
              </w:rPr>
              <w:fldChar w:fldCharType="separate"/>
            </w:r>
            <w:r>
              <w:rPr>
                <w:noProof/>
                <w:webHidden/>
              </w:rPr>
              <w:t>42</w:t>
            </w:r>
            <w:r>
              <w:rPr>
                <w:noProof/>
                <w:webHidden/>
              </w:rPr>
              <w:fldChar w:fldCharType="end"/>
            </w:r>
          </w:hyperlink>
        </w:p>
        <w:p w14:paraId="6DC005E6" w14:textId="078DFDD9" w:rsidR="00D05FE3" w:rsidRDefault="00D05FE3">
          <w:pPr>
            <w:pStyle w:val="TOC2"/>
            <w:tabs>
              <w:tab w:val="right" w:leader="dot" w:pos="9016"/>
            </w:tabs>
            <w:rPr>
              <w:rFonts w:asciiTheme="minorHAnsi" w:eastAsiaTheme="minorEastAsia" w:hAnsiTheme="minorHAnsi" w:cstheme="minorBidi"/>
              <w:noProof/>
              <w:szCs w:val="22"/>
              <w:lang w:eastAsia="en-AU"/>
            </w:rPr>
          </w:pPr>
          <w:hyperlink w:anchor="_Toc95326289" w:history="1">
            <w:r w:rsidRPr="00F66855">
              <w:rPr>
                <w:rStyle w:val="Hyperlink"/>
                <w:noProof/>
              </w:rPr>
              <w:t>Timeframes</w:t>
            </w:r>
            <w:r>
              <w:rPr>
                <w:noProof/>
                <w:webHidden/>
              </w:rPr>
              <w:tab/>
            </w:r>
            <w:r>
              <w:rPr>
                <w:noProof/>
                <w:webHidden/>
              </w:rPr>
              <w:fldChar w:fldCharType="begin"/>
            </w:r>
            <w:r>
              <w:rPr>
                <w:noProof/>
                <w:webHidden/>
              </w:rPr>
              <w:instrText xml:space="preserve"> PAGEREF _Toc95326289 \h </w:instrText>
            </w:r>
            <w:r>
              <w:rPr>
                <w:noProof/>
                <w:webHidden/>
              </w:rPr>
            </w:r>
            <w:r>
              <w:rPr>
                <w:noProof/>
                <w:webHidden/>
              </w:rPr>
              <w:fldChar w:fldCharType="separate"/>
            </w:r>
            <w:r>
              <w:rPr>
                <w:noProof/>
                <w:webHidden/>
              </w:rPr>
              <w:t>44</w:t>
            </w:r>
            <w:r>
              <w:rPr>
                <w:noProof/>
                <w:webHidden/>
              </w:rPr>
              <w:fldChar w:fldCharType="end"/>
            </w:r>
          </w:hyperlink>
        </w:p>
        <w:p w14:paraId="7AAF37E5" w14:textId="313C8F2F" w:rsidR="00D05FE3" w:rsidRDefault="00D05FE3">
          <w:pPr>
            <w:pStyle w:val="TOC2"/>
            <w:tabs>
              <w:tab w:val="right" w:leader="dot" w:pos="9016"/>
            </w:tabs>
            <w:rPr>
              <w:rFonts w:asciiTheme="minorHAnsi" w:eastAsiaTheme="minorEastAsia" w:hAnsiTheme="minorHAnsi" w:cstheme="minorBidi"/>
              <w:noProof/>
              <w:szCs w:val="22"/>
              <w:lang w:eastAsia="en-AU"/>
            </w:rPr>
          </w:pPr>
          <w:hyperlink w:anchor="_Toc95326290" w:history="1">
            <w:r w:rsidRPr="00F66855">
              <w:rPr>
                <w:rStyle w:val="Hyperlink"/>
                <w:noProof/>
              </w:rPr>
              <w:t>Licence variations</w:t>
            </w:r>
            <w:r>
              <w:rPr>
                <w:noProof/>
                <w:webHidden/>
              </w:rPr>
              <w:tab/>
            </w:r>
            <w:r>
              <w:rPr>
                <w:noProof/>
                <w:webHidden/>
              </w:rPr>
              <w:fldChar w:fldCharType="begin"/>
            </w:r>
            <w:r>
              <w:rPr>
                <w:noProof/>
                <w:webHidden/>
              </w:rPr>
              <w:instrText xml:space="preserve"> PAGEREF _Toc95326290 \h </w:instrText>
            </w:r>
            <w:r>
              <w:rPr>
                <w:noProof/>
                <w:webHidden/>
              </w:rPr>
            </w:r>
            <w:r>
              <w:rPr>
                <w:noProof/>
                <w:webHidden/>
              </w:rPr>
              <w:fldChar w:fldCharType="separate"/>
            </w:r>
            <w:r>
              <w:rPr>
                <w:noProof/>
                <w:webHidden/>
              </w:rPr>
              <w:t>46</w:t>
            </w:r>
            <w:r>
              <w:rPr>
                <w:noProof/>
                <w:webHidden/>
              </w:rPr>
              <w:fldChar w:fldCharType="end"/>
            </w:r>
          </w:hyperlink>
        </w:p>
        <w:p w14:paraId="2F004966" w14:textId="44BC4D7D" w:rsidR="00D05FE3" w:rsidRDefault="00D05FE3">
          <w:pPr>
            <w:pStyle w:val="TOC2"/>
            <w:tabs>
              <w:tab w:val="right" w:leader="dot" w:pos="9016"/>
            </w:tabs>
            <w:rPr>
              <w:rFonts w:asciiTheme="minorHAnsi" w:eastAsiaTheme="minorEastAsia" w:hAnsiTheme="minorHAnsi" w:cstheme="minorBidi"/>
              <w:noProof/>
              <w:szCs w:val="22"/>
              <w:lang w:eastAsia="en-AU"/>
            </w:rPr>
          </w:pPr>
          <w:hyperlink w:anchor="_Toc95326291" w:history="1">
            <w:r w:rsidRPr="00F66855">
              <w:rPr>
                <w:rStyle w:val="Hyperlink"/>
                <w:noProof/>
              </w:rPr>
              <w:t>ToR 5 — Effective and appropriate enforcement of compliance</w:t>
            </w:r>
            <w:r>
              <w:rPr>
                <w:noProof/>
                <w:webHidden/>
              </w:rPr>
              <w:tab/>
            </w:r>
            <w:r>
              <w:rPr>
                <w:noProof/>
                <w:webHidden/>
              </w:rPr>
              <w:fldChar w:fldCharType="begin"/>
            </w:r>
            <w:r>
              <w:rPr>
                <w:noProof/>
                <w:webHidden/>
              </w:rPr>
              <w:instrText xml:space="preserve"> PAGEREF _Toc95326291 \h </w:instrText>
            </w:r>
            <w:r>
              <w:rPr>
                <w:noProof/>
                <w:webHidden/>
              </w:rPr>
            </w:r>
            <w:r>
              <w:rPr>
                <w:noProof/>
                <w:webHidden/>
              </w:rPr>
              <w:fldChar w:fldCharType="separate"/>
            </w:r>
            <w:r>
              <w:rPr>
                <w:noProof/>
                <w:webHidden/>
              </w:rPr>
              <w:t>46</w:t>
            </w:r>
            <w:r>
              <w:rPr>
                <w:noProof/>
                <w:webHidden/>
              </w:rPr>
              <w:fldChar w:fldCharType="end"/>
            </w:r>
          </w:hyperlink>
        </w:p>
        <w:p w14:paraId="390C959D" w14:textId="7B39EC64" w:rsidR="00D05FE3" w:rsidRDefault="00D05FE3">
          <w:pPr>
            <w:pStyle w:val="TOC2"/>
            <w:tabs>
              <w:tab w:val="right" w:leader="dot" w:pos="9016"/>
            </w:tabs>
            <w:rPr>
              <w:rFonts w:asciiTheme="minorHAnsi" w:eastAsiaTheme="minorEastAsia" w:hAnsiTheme="minorHAnsi" w:cstheme="minorBidi"/>
              <w:noProof/>
              <w:szCs w:val="22"/>
              <w:lang w:eastAsia="en-AU"/>
            </w:rPr>
          </w:pPr>
          <w:hyperlink w:anchor="_Toc95326292" w:history="1">
            <w:r w:rsidRPr="00F66855">
              <w:rPr>
                <w:rStyle w:val="Hyperlink"/>
                <w:noProof/>
              </w:rPr>
              <w:t>Unintended presence</w:t>
            </w:r>
            <w:r>
              <w:rPr>
                <w:noProof/>
                <w:webHidden/>
              </w:rPr>
              <w:tab/>
            </w:r>
            <w:r>
              <w:rPr>
                <w:noProof/>
                <w:webHidden/>
              </w:rPr>
              <w:fldChar w:fldCharType="begin"/>
            </w:r>
            <w:r>
              <w:rPr>
                <w:noProof/>
                <w:webHidden/>
              </w:rPr>
              <w:instrText xml:space="preserve"> PAGEREF _Toc95326292 \h </w:instrText>
            </w:r>
            <w:r>
              <w:rPr>
                <w:noProof/>
                <w:webHidden/>
              </w:rPr>
            </w:r>
            <w:r>
              <w:rPr>
                <w:noProof/>
                <w:webHidden/>
              </w:rPr>
              <w:fldChar w:fldCharType="separate"/>
            </w:r>
            <w:r>
              <w:rPr>
                <w:noProof/>
                <w:webHidden/>
              </w:rPr>
              <w:t>48</w:t>
            </w:r>
            <w:r>
              <w:rPr>
                <w:noProof/>
                <w:webHidden/>
              </w:rPr>
              <w:fldChar w:fldCharType="end"/>
            </w:r>
          </w:hyperlink>
        </w:p>
        <w:p w14:paraId="32D46D6B" w14:textId="208E3B86" w:rsidR="00D05FE3" w:rsidRDefault="00D05FE3">
          <w:pPr>
            <w:pStyle w:val="TOC1"/>
            <w:tabs>
              <w:tab w:val="right" w:leader="dot" w:pos="9016"/>
            </w:tabs>
            <w:rPr>
              <w:rFonts w:asciiTheme="minorHAnsi" w:eastAsiaTheme="minorEastAsia" w:hAnsiTheme="minorHAnsi" w:cstheme="minorBidi"/>
              <w:noProof/>
              <w:szCs w:val="22"/>
              <w:lang w:eastAsia="en-AU"/>
            </w:rPr>
          </w:pPr>
          <w:hyperlink w:anchor="_Toc95326293" w:history="1">
            <w:r w:rsidRPr="00F66855">
              <w:rPr>
                <w:rStyle w:val="Hyperlink"/>
                <w:noProof/>
              </w:rPr>
              <w:t>Chapter 6: REGULATORY BURDEN</w:t>
            </w:r>
            <w:r>
              <w:rPr>
                <w:noProof/>
                <w:webHidden/>
              </w:rPr>
              <w:tab/>
            </w:r>
            <w:r>
              <w:rPr>
                <w:noProof/>
                <w:webHidden/>
              </w:rPr>
              <w:fldChar w:fldCharType="begin"/>
            </w:r>
            <w:r>
              <w:rPr>
                <w:noProof/>
                <w:webHidden/>
              </w:rPr>
              <w:instrText xml:space="preserve"> PAGEREF _Toc95326293 \h </w:instrText>
            </w:r>
            <w:r>
              <w:rPr>
                <w:noProof/>
                <w:webHidden/>
              </w:rPr>
            </w:r>
            <w:r>
              <w:rPr>
                <w:noProof/>
                <w:webHidden/>
              </w:rPr>
              <w:fldChar w:fldCharType="separate"/>
            </w:r>
            <w:r>
              <w:rPr>
                <w:noProof/>
                <w:webHidden/>
              </w:rPr>
              <w:t>49</w:t>
            </w:r>
            <w:r>
              <w:rPr>
                <w:noProof/>
                <w:webHidden/>
              </w:rPr>
              <w:fldChar w:fldCharType="end"/>
            </w:r>
          </w:hyperlink>
        </w:p>
        <w:p w14:paraId="1A76835B" w14:textId="1438FDF4" w:rsidR="00D05FE3" w:rsidRDefault="00D05FE3">
          <w:pPr>
            <w:pStyle w:val="TOC2"/>
            <w:tabs>
              <w:tab w:val="right" w:leader="dot" w:pos="9016"/>
            </w:tabs>
            <w:rPr>
              <w:rFonts w:asciiTheme="minorHAnsi" w:eastAsiaTheme="minorEastAsia" w:hAnsiTheme="minorHAnsi" w:cstheme="minorBidi"/>
              <w:noProof/>
              <w:szCs w:val="22"/>
              <w:lang w:eastAsia="en-AU"/>
            </w:rPr>
          </w:pPr>
          <w:hyperlink w:anchor="_Toc95326294" w:history="1">
            <w:r w:rsidRPr="00F66855">
              <w:rPr>
                <w:rStyle w:val="Hyperlink"/>
                <w:noProof/>
              </w:rPr>
              <w:t>Current system of approvals</w:t>
            </w:r>
            <w:r>
              <w:rPr>
                <w:noProof/>
                <w:webHidden/>
              </w:rPr>
              <w:tab/>
            </w:r>
            <w:r>
              <w:rPr>
                <w:noProof/>
                <w:webHidden/>
              </w:rPr>
              <w:fldChar w:fldCharType="begin"/>
            </w:r>
            <w:r>
              <w:rPr>
                <w:noProof/>
                <w:webHidden/>
              </w:rPr>
              <w:instrText xml:space="preserve"> PAGEREF _Toc95326294 \h </w:instrText>
            </w:r>
            <w:r>
              <w:rPr>
                <w:noProof/>
                <w:webHidden/>
              </w:rPr>
            </w:r>
            <w:r>
              <w:rPr>
                <w:noProof/>
                <w:webHidden/>
              </w:rPr>
              <w:fldChar w:fldCharType="separate"/>
            </w:r>
            <w:r>
              <w:rPr>
                <w:noProof/>
                <w:webHidden/>
              </w:rPr>
              <w:t>49</w:t>
            </w:r>
            <w:r>
              <w:rPr>
                <w:noProof/>
                <w:webHidden/>
              </w:rPr>
              <w:fldChar w:fldCharType="end"/>
            </w:r>
          </w:hyperlink>
        </w:p>
        <w:p w14:paraId="4F99F999" w14:textId="7730BB1E" w:rsidR="00D05FE3" w:rsidRDefault="00D05FE3">
          <w:pPr>
            <w:pStyle w:val="TOC2"/>
            <w:tabs>
              <w:tab w:val="right" w:leader="dot" w:pos="9016"/>
            </w:tabs>
            <w:rPr>
              <w:rFonts w:asciiTheme="minorHAnsi" w:eastAsiaTheme="minorEastAsia" w:hAnsiTheme="minorHAnsi" w:cstheme="minorBidi"/>
              <w:noProof/>
              <w:szCs w:val="22"/>
              <w:lang w:eastAsia="en-AU"/>
            </w:rPr>
          </w:pPr>
          <w:hyperlink w:anchor="_Toc95326295" w:history="1">
            <w:r w:rsidRPr="00F66855">
              <w:rPr>
                <w:rStyle w:val="Hyperlink"/>
                <w:noProof/>
              </w:rPr>
              <w:t>Background on regulatory burden and administrative burden</w:t>
            </w:r>
            <w:r>
              <w:rPr>
                <w:noProof/>
                <w:webHidden/>
              </w:rPr>
              <w:tab/>
            </w:r>
            <w:r>
              <w:rPr>
                <w:noProof/>
                <w:webHidden/>
              </w:rPr>
              <w:fldChar w:fldCharType="begin"/>
            </w:r>
            <w:r>
              <w:rPr>
                <w:noProof/>
                <w:webHidden/>
              </w:rPr>
              <w:instrText xml:space="preserve"> PAGEREF _Toc95326295 \h </w:instrText>
            </w:r>
            <w:r>
              <w:rPr>
                <w:noProof/>
                <w:webHidden/>
              </w:rPr>
            </w:r>
            <w:r>
              <w:rPr>
                <w:noProof/>
                <w:webHidden/>
              </w:rPr>
              <w:fldChar w:fldCharType="separate"/>
            </w:r>
            <w:r>
              <w:rPr>
                <w:noProof/>
                <w:webHidden/>
              </w:rPr>
              <w:t>50</w:t>
            </w:r>
            <w:r>
              <w:rPr>
                <w:noProof/>
                <w:webHidden/>
              </w:rPr>
              <w:fldChar w:fldCharType="end"/>
            </w:r>
          </w:hyperlink>
        </w:p>
        <w:p w14:paraId="61093D9E" w14:textId="693ADA79" w:rsidR="00D05FE3" w:rsidRDefault="00D05FE3">
          <w:pPr>
            <w:pStyle w:val="TOC2"/>
            <w:tabs>
              <w:tab w:val="right" w:leader="dot" w:pos="9016"/>
            </w:tabs>
            <w:rPr>
              <w:rFonts w:asciiTheme="minorHAnsi" w:eastAsiaTheme="minorEastAsia" w:hAnsiTheme="minorHAnsi" w:cstheme="minorBidi"/>
              <w:noProof/>
              <w:szCs w:val="22"/>
              <w:lang w:eastAsia="en-AU"/>
            </w:rPr>
          </w:pPr>
          <w:hyperlink w:anchor="_Toc95326296" w:history="1">
            <w:r w:rsidRPr="00F66855">
              <w:rPr>
                <w:rStyle w:val="Hyperlink"/>
                <w:noProof/>
              </w:rPr>
              <w:t>A reasonable and justified regulatory burden</w:t>
            </w:r>
            <w:r>
              <w:rPr>
                <w:noProof/>
                <w:webHidden/>
              </w:rPr>
              <w:tab/>
            </w:r>
            <w:r>
              <w:rPr>
                <w:noProof/>
                <w:webHidden/>
              </w:rPr>
              <w:fldChar w:fldCharType="begin"/>
            </w:r>
            <w:r>
              <w:rPr>
                <w:noProof/>
                <w:webHidden/>
              </w:rPr>
              <w:instrText xml:space="preserve"> PAGEREF _Toc95326296 \h </w:instrText>
            </w:r>
            <w:r>
              <w:rPr>
                <w:noProof/>
                <w:webHidden/>
              </w:rPr>
            </w:r>
            <w:r>
              <w:rPr>
                <w:noProof/>
                <w:webHidden/>
              </w:rPr>
              <w:fldChar w:fldCharType="separate"/>
            </w:r>
            <w:r>
              <w:rPr>
                <w:noProof/>
                <w:webHidden/>
              </w:rPr>
              <w:t>52</w:t>
            </w:r>
            <w:r>
              <w:rPr>
                <w:noProof/>
                <w:webHidden/>
              </w:rPr>
              <w:fldChar w:fldCharType="end"/>
            </w:r>
          </w:hyperlink>
        </w:p>
        <w:p w14:paraId="3A8DCAD6" w14:textId="7D276ABD" w:rsidR="00D05FE3" w:rsidRDefault="00D05FE3">
          <w:pPr>
            <w:pStyle w:val="TOC2"/>
            <w:tabs>
              <w:tab w:val="right" w:leader="dot" w:pos="9016"/>
            </w:tabs>
            <w:rPr>
              <w:rFonts w:asciiTheme="minorHAnsi" w:eastAsiaTheme="minorEastAsia" w:hAnsiTheme="minorHAnsi" w:cstheme="minorBidi"/>
              <w:noProof/>
              <w:szCs w:val="22"/>
              <w:lang w:eastAsia="en-AU"/>
            </w:rPr>
          </w:pPr>
          <w:hyperlink w:anchor="_Toc95326297" w:history="1">
            <w:r w:rsidRPr="00F66855">
              <w:rPr>
                <w:rStyle w:val="Hyperlink"/>
                <w:noProof/>
              </w:rPr>
              <w:t>Exempt dealings</w:t>
            </w:r>
            <w:r>
              <w:rPr>
                <w:noProof/>
                <w:webHidden/>
              </w:rPr>
              <w:tab/>
            </w:r>
            <w:r>
              <w:rPr>
                <w:noProof/>
                <w:webHidden/>
              </w:rPr>
              <w:fldChar w:fldCharType="begin"/>
            </w:r>
            <w:r>
              <w:rPr>
                <w:noProof/>
                <w:webHidden/>
              </w:rPr>
              <w:instrText xml:space="preserve"> PAGEREF _Toc95326297 \h </w:instrText>
            </w:r>
            <w:r>
              <w:rPr>
                <w:noProof/>
                <w:webHidden/>
              </w:rPr>
            </w:r>
            <w:r>
              <w:rPr>
                <w:noProof/>
                <w:webHidden/>
              </w:rPr>
              <w:fldChar w:fldCharType="separate"/>
            </w:r>
            <w:r>
              <w:rPr>
                <w:noProof/>
                <w:webHidden/>
              </w:rPr>
              <w:t>52</w:t>
            </w:r>
            <w:r>
              <w:rPr>
                <w:noProof/>
                <w:webHidden/>
              </w:rPr>
              <w:fldChar w:fldCharType="end"/>
            </w:r>
          </w:hyperlink>
        </w:p>
        <w:p w14:paraId="6CAB57EB" w14:textId="6014C074" w:rsidR="00D05FE3" w:rsidRDefault="00D05FE3">
          <w:pPr>
            <w:pStyle w:val="TOC2"/>
            <w:tabs>
              <w:tab w:val="right" w:leader="dot" w:pos="9016"/>
            </w:tabs>
            <w:rPr>
              <w:rFonts w:asciiTheme="minorHAnsi" w:eastAsiaTheme="minorEastAsia" w:hAnsiTheme="minorHAnsi" w:cstheme="minorBidi"/>
              <w:noProof/>
              <w:szCs w:val="22"/>
              <w:lang w:eastAsia="en-AU"/>
            </w:rPr>
          </w:pPr>
          <w:hyperlink w:anchor="_Toc95326298" w:history="1">
            <w:r w:rsidRPr="00F66855">
              <w:rPr>
                <w:rStyle w:val="Hyperlink"/>
                <w:noProof/>
              </w:rPr>
              <w:t>Dealings not involving an intentional release</w:t>
            </w:r>
            <w:r>
              <w:rPr>
                <w:noProof/>
                <w:webHidden/>
              </w:rPr>
              <w:tab/>
            </w:r>
            <w:r>
              <w:rPr>
                <w:noProof/>
                <w:webHidden/>
              </w:rPr>
              <w:fldChar w:fldCharType="begin"/>
            </w:r>
            <w:r>
              <w:rPr>
                <w:noProof/>
                <w:webHidden/>
              </w:rPr>
              <w:instrText xml:space="preserve"> PAGEREF _Toc95326298 \h </w:instrText>
            </w:r>
            <w:r>
              <w:rPr>
                <w:noProof/>
                <w:webHidden/>
              </w:rPr>
            </w:r>
            <w:r>
              <w:rPr>
                <w:noProof/>
                <w:webHidden/>
              </w:rPr>
              <w:fldChar w:fldCharType="separate"/>
            </w:r>
            <w:r>
              <w:rPr>
                <w:noProof/>
                <w:webHidden/>
              </w:rPr>
              <w:t>53</w:t>
            </w:r>
            <w:r>
              <w:rPr>
                <w:noProof/>
                <w:webHidden/>
              </w:rPr>
              <w:fldChar w:fldCharType="end"/>
            </w:r>
          </w:hyperlink>
        </w:p>
        <w:p w14:paraId="0458CCF5" w14:textId="20BFF3F8" w:rsidR="00D05FE3" w:rsidRDefault="00D05FE3">
          <w:pPr>
            <w:pStyle w:val="TOC2"/>
            <w:tabs>
              <w:tab w:val="right" w:leader="dot" w:pos="9016"/>
            </w:tabs>
            <w:rPr>
              <w:rFonts w:asciiTheme="minorHAnsi" w:eastAsiaTheme="minorEastAsia" w:hAnsiTheme="minorHAnsi" w:cstheme="minorBidi"/>
              <w:noProof/>
              <w:szCs w:val="22"/>
              <w:lang w:eastAsia="en-AU"/>
            </w:rPr>
          </w:pPr>
          <w:hyperlink w:anchor="_Toc95326299" w:history="1">
            <w:r w:rsidRPr="00F66855">
              <w:rPr>
                <w:rStyle w:val="Hyperlink"/>
                <w:noProof/>
              </w:rPr>
              <w:t>Dealings involving an intentional release</w:t>
            </w:r>
            <w:r>
              <w:rPr>
                <w:noProof/>
                <w:webHidden/>
              </w:rPr>
              <w:tab/>
            </w:r>
            <w:r>
              <w:rPr>
                <w:noProof/>
                <w:webHidden/>
              </w:rPr>
              <w:fldChar w:fldCharType="begin"/>
            </w:r>
            <w:r>
              <w:rPr>
                <w:noProof/>
                <w:webHidden/>
              </w:rPr>
              <w:instrText xml:space="preserve"> PAGEREF _Toc95326299 \h </w:instrText>
            </w:r>
            <w:r>
              <w:rPr>
                <w:noProof/>
                <w:webHidden/>
              </w:rPr>
            </w:r>
            <w:r>
              <w:rPr>
                <w:noProof/>
                <w:webHidden/>
              </w:rPr>
              <w:fldChar w:fldCharType="separate"/>
            </w:r>
            <w:r>
              <w:rPr>
                <w:noProof/>
                <w:webHidden/>
              </w:rPr>
              <w:t>53</w:t>
            </w:r>
            <w:r>
              <w:rPr>
                <w:noProof/>
                <w:webHidden/>
              </w:rPr>
              <w:fldChar w:fldCharType="end"/>
            </w:r>
          </w:hyperlink>
        </w:p>
        <w:p w14:paraId="5DBB8CC6" w14:textId="56C64285" w:rsidR="00D05FE3" w:rsidRDefault="00D05FE3">
          <w:pPr>
            <w:pStyle w:val="TOC1"/>
            <w:tabs>
              <w:tab w:val="right" w:leader="dot" w:pos="9016"/>
            </w:tabs>
            <w:rPr>
              <w:rFonts w:asciiTheme="minorHAnsi" w:eastAsiaTheme="minorEastAsia" w:hAnsiTheme="minorHAnsi" w:cstheme="minorBidi"/>
              <w:noProof/>
              <w:szCs w:val="22"/>
              <w:lang w:eastAsia="en-AU"/>
            </w:rPr>
          </w:pPr>
          <w:hyperlink w:anchor="_Toc95326300" w:history="1">
            <w:r w:rsidRPr="00F66855">
              <w:rPr>
                <w:rStyle w:val="Hyperlink"/>
                <w:noProof/>
              </w:rPr>
              <w:t>Chapter 7: INTERFACE WITH OTHER SYSTEMS</w:t>
            </w:r>
            <w:r>
              <w:rPr>
                <w:noProof/>
                <w:webHidden/>
              </w:rPr>
              <w:tab/>
            </w:r>
            <w:r>
              <w:rPr>
                <w:noProof/>
                <w:webHidden/>
              </w:rPr>
              <w:fldChar w:fldCharType="begin"/>
            </w:r>
            <w:r>
              <w:rPr>
                <w:noProof/>
                <w:webHidden/>
              </w:rPr>
              <w:instrText xml:space="preserve"> PAGEREF _Toc95326300 \h </w:instrText>
            </w:r>
            <w:r>
              <w:rPr>
                <w:noProof/>
                <w:webHidden/>
              </w:rPr>
            </w:r>
            <w:r>
              <w:rPr>
                <w:noProof/>
                <w:webHidden/>
              </w:rPr>
              <w:fldChar w:fldCharType="separate"/>
            </w:r>
            <w:r>
              <w:rPr>
                <w:noProof/>
                <w:webHidden/>
              </w:rPr>
              <w:t>57</w:t>
            </w:r>
            <w:r>
              <w:rPr>
                <w:noProof/>
                <w:webHidden/>
              </w:rPr>
              <w:fldChar w:fldCharType="end"/>
            </w:r>
          </w:hyperlink>
        </w:p>
        <w:p w14:paraId="7F14637D" w14:textId="2B289517" w:rsidR="00D05FE3" w:rsidRDefault="00D05FE3">
          <w:pPr>
            <w:pStyle w:val="TOC2"/>
            <w:tabs>
              <w:tab w:val="right" w:leader="dot" w:pos="9016"/>
            </w:tabs>
            <w:rPr>
              <w:rFonts w:asciiTheme="minorHAnsi" w:eastAsiaTheme="minorEastAsia" w:hAnsiTheme="minorHAnsi" w:cstheme="minorBidi"/>
              <w:noProof/>
              <w:szCs w:val="22"/>
              <w:lang w:eastAsia="en-AU"/>
            </w:rPr>
          </w:pPr>
          <w:hyperlink w:anchor="_Toc95326301" w:history="1">
            <w:r w:rsidRPr="00F66855">
              <w:rPr>
                <w:rStyle w:val="Hyperlink"/>
                <w:noProof/>
              </w:rPr>
              <w:t>Improvements in consistency, efficiency and coordination between Commonwealth Regulators of GMOs and GM products</w:t>
            </w:r>
            <w:r>
              <w:rPr>
                <w:noProof/>
                <w:webHidden/>
              </w:rPr>
              <w:tab/>
            </w:r>
            <w:r>
              <w:rPr>
                <w:noProof/>
                <w:webHidden/>
              </w:rPr>
              <w:fldChar w:fldCharType="begin"/>
            </w:r>
            <w:r>
              <w:rPr>
                <w:noProof/>
                <w:webHidden/>
              </w:rPr>
              <w:instrText xml:space="preserve"> PAGEREF _Toc95326301 \h </w:instrText>
            </w:r>
            <w:r>
              <w:rPr>
                <w:noProof/>
                <w:webHidden/>
              </w:rPr>
            </w:r>
            <w:r>
              <w:rPr>
                <w:noProof/>
                <w:webHidden/>
              </w:rPr>
              <w:fldChar w:fldCharType="separate"/>
            </w:r>
            <w:r>
              <w:rPr>
                <w:noProof/>
                <w:webHidden/>
              </w:rPr>
              <w:t>57</w:t>
            </w:r>
            <w:r>
              <w:rPr>
                <w:noProof/>
                <w:webHidden/>
              </w:rPr>
              <w:fldChar w:fldCharType="end"/>
            </w:r>
          </w:hyperlink>
        </w:p>
        <w:p w14:paraId="4C39B143" w14:textId="390BEFFF" w:rsidR="00D05FE3" w:rsidRDefault="00D05FE3">
          <w:pPr>
            <w:pStyle w:val="TOC2"/>
            <w:tabs>
              <w:tab w:val="right" w:leader="dot" w:pos="9016"/>
            </w:tabs>
            <w:rPr>
              <w:rFonts w:asciiTheme="minorHAnsi" w:eastAsiaTheme="minorEastAsia" w:hAnsiTheme="minorHAnsi" w:cstheme="minorBidi"/>
              <w:noProof/>
              <w:szCs w:val="22"/>
              <w:lang w:eastAsia="en-AU"/>
            </w:rPr>
          </w:pPr>
          <w:hyperlink w:anchor="_Toc95326302" w:history="1">
            <w:r w:rsidRPr="00F66855">
              <w:rPr>
                <w:rStyle w:val="Hyperlink"/>
                <w:noProof/>
              </w:rPr>
              <w:t>Areas needing harmonisation between Commonwealth Regulators of GMOs and GM products</w:t>
            </w:r>
            <w:r>
              <w:rPr>
                <w:noProof/>
                <w:webHidden/>
              </w:rPr>
              <w:tab/>
            </w:r>
            <w:r>
              <w:rPr>
                <w:noProof/>
                <w:webHidden/>
              </w:rPr>
              <w:fldChar w:fldCharType="begin"/>
            </w:r>
            <w:r>
              <w:rPr>
                <w:noProof/>
                <w:webHidden/>
              </w:rPr>
              <w:instrText xml:space="preserve"> PAGEREF _Toc95326302 \h </w:instrText>
            </w:r>
            <w:r>
              <w:rPr>
                <w:noProof/>
                <w:webHidden/>
              </w:rPr>
            </w:r>
            <w:r>
              <w:rPr>
                <w:noProof/>
                <w:webHidden/>
              </w:rPr>
              <w:fldChar w:fldCharType="separate"/>
            </w:r>
            <w:r>
              <w:rPr>
                <w:noProof/>
                <w:webHidden/>
              </w:rPr>
              <w:t>63</w:t>
            </w:r>
            <w:r>
              <w:rPr>
                <w:noProof/>
                <w:webHidden/>
              </w:rPr>
              <w:fldChar w:fldCharType="end"/>
            </w:r>
          </w:hyperlink>
        </w:p>
        <w:p w14:paraId="5C52451C" w14:textId="671E3F4E" w:rsidR="00D05FE3" w:rsidRDefault="00D05FE3">
          <w:pPr>
            <w:pStyle w:val="TOC2"/>
            <w:tabs>
              <w:tab w:val="right" w:leader="dot" w:pos="9016"/>
            </w:tabs>
            <w:rPr>
              <w:rFonts w:asciiTheme="minorHAnsi" w:eastAsiaTheme="minorEastAsia" w:hAnsiTheme="minorHAnsi" w:cstheme="minorBidi"/>
              <w:noProof/>
              <w:szCs w:val="22"/>
              <w:lang w:eastAsia="en-AU"/>
            </w:rPr>
          </w:pPr>
          <w:hyperlink w:anchor="_Toc95326303" w:history="1">
            <w:r w:rsidRPr="00F66855">
              <w:rPr>
                <w:rStyle w:val="Hyperlink"/>
                <w:noProof/>
              </w:rPr>
              <w:t>Improvements in consistency, effi ciency and coordination between the gene technology regulatory system and relevant State legislation</w:t>
            </w:r>
            <w:r>
              <w:rPr>
                <w:noProof/>
                <w:webHidden/>
              </w:rPr>
              <w:tab/>
            </w:r>
            <w:r>
              <w:rPr>
                <w:noProof/>
                <w:webHidden/>
              </w:rPr>
              <w:fldChar w:fldCharType="begin"/>
            </w:r>
            <w:r>
              <w:rPr>
                <w:noProof/>
                <w:webHidden/>
              </w:rPr>
              <w:instrText xml:space="preserve"> PAGEREF _Toc95326303 \h </w:instrText>
            </w:r>
            <w:r>
              <w:rPr>
                <w:noProof/>
                <w:webHidden/>
              </w:rPr>
            </w:r>
            <w:r>
              <w:rPr>
                <w:noProof/>
                <w:webHidden/>
              </w:rPr>
              <w:fldChar w:fldCharType="separate"/>
            </w:r>
            <w:r>
              <w:rPr>
                <w:noProof/>
                <w:webHidden/>
              </w:rPr>
              <w:t>63</w:t>
            </w:r>
            <w:r>
              <w:rPr>
                <w:noProof/>
                <w:webHidden/>
              </w:rPr>
              <w:fldChar w:fldCharType="end"/>
            </w:r>
          </w:hyperlink>
        </w:p>
        <w:p w14:paraId="5B3220FB" w14:textId="03360613" w:rsidR="00D05FE3" w:rsidRDefault="00D05FE3">
          <w:pPr>
            <w:pStyle w:val="TOC1"/>
            <w:tabs>
              <w:tab w:val="right" w:leader="dot" w:pos="9016"/>
            </w:tabs>
            <w:rPr>
              <w:rFonts w:asciiTheme="minorHAnsi" w:eastAsiaTheme="minorEastAsia" w:hAnsiTheme="minorHAnsi" w:cstheme="minorBidi"/>
              <w:noProof/>
              <w:szCs w:val="22"/>
              <w:lang w:eastAsia="en-AU"/>
            </w:rPr>
          </w:pPr>
          <w:hyperlink w:anchor="_Toc95326304" w:history="1">
            <w:r w:rsidRPr="00F66855">
              <w:rPr>
                <w:rStyle w:val="Hyperlink"/>
                <w:noProof/>
              </w:rPr>
              <w:t>Chapter 8: CHANGING CIRCUMSTANCES</w:t>
            </w:r>
            <w:r>
              <w:rPr>
                <w:noProof/>
                <w:webHidden/>
              </w:rPr>
              <w:tab/>
            </w:r>
            <w:r>
              <w:rPr>
                <w:noProof/>
                <w:webHidden/>
              </w:rPr>
              <w:fldChar w:fldCharType="begin"/>
            </w:r>
            <w:r>
              <w:rPr>
                <w:noProof/>
                <w:webHidden/>
              </w:rPr>
              <w:instrText xml:space="preserve"> PAGEREF _Toc95326304 \h </w:instrText>
            </w:r>
            <w:r>
              <w:rPr>
                <w:noProof/>
                <w:webHidden/>
              </w:rPr>
            </w:r>
            <w:r>
              <w:rPr>
                <w:noProof/>
                <w:webHidden/>
              </w:rPr>
              <w:fldChar w:fldCharType="separate"/>
            </w:r>
            <w:r>
              <w:rPr>
                <w:noProof/>
                <w:webHidden/>
              </w:rPr>
              <w:t>65</w:t>
            </w:r>
            <w:r>
              <w:rPr>
                <w:noProof/>
                <w:webHidden/>
              </w:rPr>
              <w:fldChar w:fldCharType="end"/>
            </w:r>
          </w:hyperlink>
        </w:p>
        <w:p w14:paraId="2D2826E9" w14:textId="472BE882" w:rsidR="00D05FE3" w:rsidRDefault="00D05FE3">
          <w:pPr>
            <w:pStyle w:val="TOC2"/>
            <w:tabs>
              <w:tab w:val="right" w:leader="dot" w:pos="9016"/>
            </w:tabs>
            <w:rPr>
              <w:rFonts w:asciiTheme="minorHAnsi" w:eastAsiaTheme="minorEastAsia" w:hAnsiTheme="minorHAnsi" w:cstheme="minorBidi"/>
              <w:noProof/>
              <w:szCs w:val="22"/>
              <w:lang w:eastAsia="en-AU"/>
            </w:rPr>
          </w:pPr>
          <w:hyperlink w:anchor="_Toc95326305" w:history="1">
            <w:r w:rsidRPr="00F66855">
              <w:rPr>
                <w:rStyle w:val="Hyperlink"/>
                <w:noProof/>
              </w:rPr>
              <w:t>Emerging trends</w:t>
            </w:r>
            <w:r>
              <w:rPr>
                <w:noProof/>
                <w:webHidden/>
              </w:rPr>
              <w:tab/>
            </w:r>
            <w:r>
              <w:rPr>
                <w:noProof/>
                <w:webHidden/>
              </w:rPr>
              <w:fldChar w:fldCharType="begin"/>
            </w:r>
            <w:r>
              <w:rPr>
                <w:noProof/>
                <w:webHidden/>
              </w:rPr>
              <w:instrText xml:space="preserve"> PAGEREF _Toc95326305 \h </w:instrText>
            </w:r>
            <w:r>
              <w:rPr>
                <w:noProof/>
                <w:webHidden/>
              </w:rPr>
            </w:r>
            <w:r>
              <w:rPr>
                <w:noProof/>
                <w:webHidden/>
              </w:rPr>
              <w:fldChar w:fldCharType="separate"/>
            </w:r>
            <w:r>
              <w:rPr>
                <w:noProof/>
                <w:webHidden/>
              </w:rPr>
              <w:t>65</w:t>
            </w:r>
            <w:r>
              <w:rPr>
                <w:noProof/>
                <w:webHidden/>
              </w:rPr>
              <w:fldChar w:fldCharType="end"/>
            </w:r>
          </w:hyperlink>
        </w:p>
        <w:p w14:paraId="7869776E" w14:textId="3BFEE325" w:rsidR="00D05FE3" w:rsidRDefault="00D05FE3">
          <w:pPr>
            <w:pStyle w:val="TOC2"/>
            <w:tabs>
              <w:tab w:val="right" w:leader="dot" w:pos="9016"/>
            </w:tabs>
            <w:rPr>
              <w:rFonts w:asciiTheme="minorHAnsi" w:eastAsiaTheme="minorEastAsia" w:hAnsiTheme="minorHAnsi" w:cstheme="minorBidi"/>
              <w:noProof/>
              <w:szCs w:val="22"/>
              <w:lang w:eastAsia="en-AU"/>
            </w:rPr>
          </w:pPr>
          <w:hyperlink w:anchor="_Toc95326306" w:history="1">
            <w:r w:rsidRPr="00F66855">
              <w:rPr>
                <w:rStyle w:val="Hyperlink"/>
                <w:noProof/>
              </w:rPr>
              <w:t>International developments</w:t>
            </w:r>
            <w:r>
              <w:rPr>
                <w:noProof/>
                <w:webHidden/>
              </w:rPr>
              <w:tab/>
            </w:r>
            <w:r>
              <w:rPr>
                <w:noProof/>
                <w:webHidden/>
              </w:rPr>
              <w:fldChar w:fldCharType="begin"/>
            </w:r>
            <w:r>
              <w:rPr>
                <w:noProof/>
                <w:webHidden/>
              </w:rPr>
              <w:instrText xml:space="preserve"> PAGEREF _Toc95326306 \h </w:instrText>
            </w:r>
            <w:r>
              <w:rPr>
                <w:noProof/>
                <w:webHidden/>
              </w:rPr>
            </w:r>
            <w:r>
              <w:rPr>
                <w:noProof/>
                <w:webHidden/>
              </w:rPr>
              <w:fldChar w:fldCharType="separate"/>
            </w:r>
            <w:r>
              <w:rPr>
                <w:noProof/>
                <w:webHidden/>
              </w:rPr>
              <w:t>70</w:t>
            </w:r>
            <w:r>
              <w:rPr>
                <w:noProof/>
                <w:webHidden/>
              </w:rPr>
              <w:fldChar w:fldCharType="end"/>
            </w:r>
          </w:hyperlink>
        </w:p>
        <w:p w14:paraId="0117BF69" w14:textId="4793B28E" w:rsidR="00D05FE3" w:rsidRDefault="00D05FE3">
          <w:pPr>
            <w:pStyle w:val="TOC1"/>
            <w:tabs>
              <w:tab w:val="right" w:leader="dot" w:pos="9016"/>
            </w:tabs>
            <w:rPr>
              <w:rFonts w:asciiTheme="minorHAnsi" w:eastAsiaTheme="minorEastAsia" w:hAnsiTheme="minorHAnsi" w:cstheme="minorBidi"/>
              <w:noProof/>
              <w:szCs w:val="22"/>
              <w:lang w:eastAsia="en-AU"/>
            </w:rPr>
          </w:pPr>
          <w:hyperlink w:anchor="_Toc95326307" w:history="1">
            <w:r w:rsidRPr="00F66855">
              <w:rPr>
                <w:rStyle w:val="Hyperlink"/>
                <w:noProof/>
              </w:rPr>
              <w:t>Chapter 9: IGA ACHIEVING ITS AIMS</w:t>
            </w:r>
            <w:r>
              <w:rPr>
                <w:noProof/>
                <w:webHidden/>
              </w:rPr>
              <w:tab/>
            </w:r>
            <w:r>
              <w:rPr>
                <w:noProof/>
                <w:webHidden/>
              </w:rPr>
              <w:fldChar w:fldCharType="begin"/>
            </w:r>
            <w:r>
              <w:rPr>
                <w:noProof/>
                <w:webHidden/>
              </w:rPr>
              <w:instrText xml:space="preserve"> PAGEREF _Toc95326307 \h </w:instrText>
            </w:r>
            <w:r>
              <w:rPr>
                <w:noProof/>
                <w:webHidden/>
              </w:rPr>
            </w:r>
            <w:r>
              <w:rPr>
                <w:noProof/>
                <w:webHidden/>
              </w:rPr>
              <w:fldChar w:fldCharType="separate"/>
            </w:r>
            <w:r>
              <w:rPr>
                <w:noProof/>
                <w:webHidden/>
              </w:rPr>
              <w:t>72</w:t>
            </w:r>
            <w:r>
              <w:rPr>
                <w:noProof/>
                <w:webHidden/>
              </w:rPr>
              <w:fldChar w:fldCharType="end"/>
            </w:r>
          </w:hyperlink>
        </w:p>
        <w:p w14:paraId="0716C9C8" w14:textId="794E0D52" w:rsidR="00D05FE3" w:rsidRDefault="00D05FE3">
          <w:pPr>
            <w:pStyle w:val="TOC2"/>
            <w:tabs>
              <w:tab w:val="right" w:leader="dot" w:pos="9016"/>
            </w:tabs>
            <w:rPr>
              <w:rFonts w:asciiTheme="minorHAnsi" w:eastAsiaTheme="minorEastAsia" w:hAnsiTheme="minorHAnsi" w:cstheme="minorBidi"/>
              <w:noProof/>
              <w:szCs w:val="22"/>
              <w:lang w:eastAsia="en-AU"/>
            </w:rPr>
          </w:pPr>
          <w:hyperlink w:anchor="_Toc95326308" w:history="1">
            <w:r w:rsidRPr="00F66855">
              <w:rPr>
                <w:rStyle w:val="Hyperlink"/>
                <w:noProof/>
              </w:rPr>
              <w:t>Policy Principles</w:t>
            </w:r>
            <w:r>
              <w:rPr>
                <w:noProof/>
                <w:webHidden/>
              </w:rPr>
              <w:tab/>
            </w:r>
            <w:r>
              <w:rPr>
                <w:noProof/>
                <w:webHidden/>
              </w:rPr>
              <w:fldChar w:fldCharType="begin"/>
            </w:r>
            <w:r>
              <w:rPr>
                <w:noProof/>
                <w:webHidden/>
              </w:rPr>
              <w:instrText xml:space="preserve"> PAGEREF _Toc95326308 \h </w:instrText>
            </w:r>
            <w:r>
              <w:rPr>
                <w:noProof/>
                <w:webHidden/>
              </w:rPr>
            </w:r>
            <w:r>
              <w:rPr>
                <w:noProof/>
                <w:webHidden/>
              </w:rPr>
              <w:fldChar w:fldCharType="separate"/>
            </w:r>
            <w:r>
              <w:rPr>
                <w:noProof/>
                <w:webHidden/>
              </w:rPr>
              <w:t>72</w:t>
            </w:r>
            <w:r>
              <w:rPr>
                <w:noProof/>
                <w:webHidden/>
              </w:rPr>
              <w:fldChar w:fldCharType="end"/>
            </w:r>
          </w:hyperlink>
        </w:p>
        <w:p w14:paraId="1047BEB3" w14:textId="7F2DD963" w:rsidR="00D05FE3" w:rsidRDefault="00D05FE3">
          <w:pPr>
            <w:pStyle w:val="TOC2"/>
            <w:tabs>
              <w:tab w:val="right" w:leader="dot" w:pos="9016"/>
            </w:tabs>
            <w:rPr>
              <w:rFonts w:asciiTheme="minorHAnsi" w:eastAsiaTheme="minorEastAsia" w:hAnsiTheme="minorHAnsi" w:cstheme="minorBidi"/>
              <w:noProof/>
              <w:szCs w:val="22"/>
              <w:lang w:eastAsia="en-AU"/>
            </w:rPr>
          </w:pPr>
          <w:hyperlink w:anchor="_Toc95326309" w:history="1">
            <w:r w:rsidRPr="00F66855">
              <w:rPr>
                <w:rStyle w:val="Hyperlink"/>
                <w:noProof/>
              </w:rPr>
              <w:t>Emergency regulation making</w:t>
            </w:r>
            <w:r>
              <w:rPr>
                <w:noProof/>
                <w:webHidden/>
              </w:rPr>
              <w:tab/>
            </w:r>
            <w:r>
              <w:rPr>
                <w:noProof/>
                <w:webHidden/>
              </w:rPr>
              <w:fldChar w:fldCharType="begin"/>
            </w:r>
            <w:r>
              <w:rPr>
                <w:noProof/>
                <w:webHidden/>
              </w:rPr>
              <w:instrText xml:space="preserve"> PAGEREF _Toc95326309 \h </w:instrText>
            </w:r>
            <w:r>
              <w:rPr>
                <w:noProof/>
                <w:webHidden/>
              </w:rPr>
            </w:r>
            <w:r>
              <w:rPr>
                <w:noProof/>
                <w:webHidden/>
              </w:rPr>
              <w:fldChar w:fldCharType="separate"/>
            </w:r>
            <w:r>
              <w:rPr>
                <w:noProof/>
                <w:webHidden/>
              </w:rPr>
              <w:t>75</w:t>
            </w:r>
            <w:r>
              <w:rPr>
                <w:noProof/>
                <w:webHidden/>
              </w:rPr>
              <w:fldChar w:fldCharType="end"/>
            </w:r>
          </w:hyperlink>
        </w:p>
        <w:p w14:paraId="2B6B8B1E" w14:textId="3912033F" w:rsidR="00D05FE3" w:rsidRDefault="00D05FE3">
          <w:pPr>
            <w:pStyle w:val="TOC1"/>
            <w:tabs>
              <w:tab w:val="right" w:leader="dot" w:pos="9016"/>
            </w:tabs>
            <w:rPr>
              <w:rFonts w:asciiTheme="minorHAnsi" w:eastAsiaTheme="minorEastAsia" w:hAnsiTheme="minorHAnsi" w:cstheme="minorBidi"/>
              <w:noProof/>
              <w:szCs w:val="22"/>
              <w:lang w:eastAsia="en-AU"/>
            </w:rPr>
          </w:pPr>
          <w:hyperlink w:anchor="_Toc95326310" w:history="1">
            <w:r w:rsidRPr="00F66855">
              <w:rPr>
                <w:rStyle w:val="Hyperlink"/>
                <w:noProof/>
              </w:rPr>
              <w:t>SELECT BIBLIOGRAPHY</w:t>
            </w:r>
            <w:r>
              <w:rPr>
                <w:noProof/>
                <w:webHidden/>
              </w:rPr>
              <w:tab/>
            </w:r>
            <w:r>
              <w:rPr>
                <w:noProof/>
                <w:webHidden/>
              </w:rPr>
              <w:fldChar w:fldCharType="begin"/>
            </w:r>
            <w:r>
              <w:rPr>
                <w:noProof/>
                <w:webHidden/>
              </w:rPr>
              <w:instrText xml:space="preserve"> PAGEREF _Toc95326310 \h </w:instrText>
            </w:r>
            <w:r>
              <w:rPr>
                <w:noProof/>
                <w:webHidden/>
              </w:rPr>
            </w:r>
            <w:r>
              <w:rPr>
                <w:noProof/>
                <w:webHidden/>
              </w:rPr>
              <w:fldChar w:fldCharType="separate"/>
            </w:r>
            <w:r>
              <w:rPr>
                <w:noProof/>
                <w:webHidden/>
              </w:rPr>
              <w:t>77</w:t>
            </w:r>
            <w:r>
              <w:rPr>
                <w:noProof/>
                <w:webHidden/>
              </w:rPr>
              <w:fldChar w:fldCharType="end"/>
            </w:r>
          </w:hyperlink>
        </w:p>
        <w:p w14:paraId="57C4D4ED" w14:textId="6138DBD3" w:rsidR="00D05FE3" w:rsidRDefault="00D05FE3">
          <w:pPr>
            <w:pStyle w:val="TOC1"/>
            <w:tabs>
              <w:tab w:val="right" w:leader="dot" w:pos="9016"/>
            </w:tabs>
            <w:rPr>
              <w:rFonts w:asciiTheme="minorHAnsi" w:eastAsiaTheme="minorEastAsia" w:hAnsiTheme="minorHAnsi" w:cstheme="minorBidi"/>
              <w:noProof/>
              <w:szCs w:val="22"/>
              <w:lang w:eastAsia="en-AU"/>
            </w:rPr>
          </w:pPr>
          <w:hyperlink w:anchor="_Toc95326311" w:history="1">
            <w:r w:rsidRPr="00F66855">
              <w:rPr>
                <w:rStyle w:val="Hyperlink"/>
                <w:noProof/>
              </w:rPr>
              <w:t>Appendix 1</w:t>
            </w:r>
            <w:r>
              <w:rPr>
                <w:noProof/>
                <w:webHidden/>
              </w:rPr>
              <w:tab/>
            </w:r>
            <w:r>
              <w:rPr>
                <w:noProof/>
                <w:webHidden/>
              </w:rPr>
              <w:fldChar w:fldCharType="begin"/>
            </w:r>
            <w:r>
              <w:rPr>
                <w:noProof/>
                <w:webHidden/>
              </w:rPr>
              <w:instrText xml:space="preserve"> PAGEREF _Toc95326311 \h </w:instrText>
            </w:r>
            <w:r>
              <w:rPr>
                <w:noProof/>
                <w:webHidden/>
              </w:rPr>
            </w:r>
            <w:r>
              <w:rPr>
                <w:noProof/>
                <w:webHidden/>
              </w:rPr>
              <w:fldChar w:fldCharType="separate"/>
            </w:r>
            <w:r>
              <w:rPr>
                <w:noProof/>
                <w:webHidden/>
              </w:rPr>
              <w:t>80</w:t>
            </w:r>
            <w:r>
              <w:rPr>
                <w:noProof/>
                <w:webHidden/>
              </w:rPr>
              <w:fldChar w:fldCharType="end"/>
            </w:r>
          </w:hyperlink>
        </w:p>
        <w:p w14:paraId="3529742F" w14:textId="2DA324AE" w:rsidR="00D05FE3" w:rsidRDefault="00D05FE3">
          <w:pPr>
            <w:pStyle w:val="TOC2"/>
            <w:tabs>
              <w:tab w:val="right" w:leader="dot" w:pos="9016"/>
            </w:tabs>
            <w:rPr>
              <w:rFonts w:asciiTheme="minorHAnsi" w:eastAsiaTheme="minorEastAsia" w:hAnsiTheme="minorHAnsi" w:cstheme="minorBidi"/>
              <w:noProof/>
              <w:szCs w:val="22"/>
              <w:lang w:eastAsia="en-AU"/>
            </w:rPr>
          </w:pPr>
          <w:hyperlink w:anchor="_Toc95326312" w:history="1">
            <w:r w:rsidRPr="00F66855">
              <w:rPr>
                <w:rStyle w:val="Hyperlink"/>
                <w:noProof/>
              </w:rPr>
              <w:t>Membership of the Panel</w:t>
            </w:r>
            <w:r>
              <w:rPr>
                <w:noProof/>
                <w:webHidden/>
              </w:rPr>
              <w:tab/>
            </w:r>
            <w:r>
              <w:rPr>
                <w:noProof/>
                <w:webHidden/>
              </w:rPr>
              <w:fldChar w:fldCharType="begin"/>
            </w:r>
            <w:r>
              <w:rPr>
                <w:noProof/>
                <w:webHidden/>
              </w:rPr>
              <w:instrText xml:space="preserve"> PAGEREF _Toc95326312 \h </w:instrText>
            </w:r>
            <w:r>
              <w:rPr>
                <w:noProof/>
                <w:webHidden/>
              </w:rPr>
            </w:r>
            <w:r>
              <w:rPr>
                <w:noProof/>
                <w:webHidden/>
              </w:rPr>
              <w:fldChar w:fldCharType="separate"/>
            </w:r>
            <w:r>
              <w:rPr>
                <w:noProof/>
                <w:webHidden/>
              </w:rPr>
              <w:t>80</w:t>
            </w:r>
            <w:r>
              <w:rPr>
                <w:noProof/>
                <w:webHidden/>
              </w:rPr>
              <w:fldChar w:fldCharType="end"/>
            </w:r>
          </w:hyperlink>
        </w:p>
        <w:p w14:paraId="125AF669" w14:textId="55EED182" w:rsidR="00D05FE3" w:rsidRDefault="00D05FE3">
          <w:pPr>
            <w:pStyle w:val="TOC1"/>
            <w:tabs>
              <w:tab w:val="right" w:leader="dot" w:pos="9016"/>
            </w:tabs>
            <w:rPr>
              <w:rFonts w:asciiTheme="minorHAnsi" w:eastAsiaTheme="minorEastAsia" w:hAnsiTheme="minorHAnsi" w:cstheme="minorBidi"/>
              <w:noProof/>
              <w:szCs w:val="22"/>
              <w:lang w:eastAsia="en-AU"/>
            </w:rPr>
          </w:pPr>
          <w:hyperlink w:anchor="_Toc95326313" w:history="1">
            <w:r w:rsidRPr="00F66855">
              <w:rPr>
                <w:rStyle w:val="Hyperlink"/>
                <w:noProof/>
              </w:rPr>
              <w:t>Appendix 2</w:t>
            </w:r>
            <w:r>
              <w:rPr>
                <w:noProof/>
                <w:webHidden/>
              </w:rPr>
              <w:tab/>
            </w:r>
            <w:r>
              <w:rPr>
                <w:noProof/>
                <w:webHidden/>
              </w:rPr>
              <w:fldChar w:fldCharType="begin"/>
            </w:r>
            <w:r>
              <w:rPr>
                <w:noProof/>
                <w:webHidden/>
              </w:rPr>
              <w:instrText xml:space="preserve"> PAGEREF _Toc95326313 \h </w:instrText>
            </w:r>
            <w:r>
              <w:rPr>
                <w:noProof/>
                <w:webHidden/>
              </w:rPr>
            </w:r>
            <w:r>
              <w:rPr>
                <w:noProof/>
                <w:webHidden/>
              </w:rPr>
              <w:fldChar w:fldCharType="separate"/>
            </w:r>
            <w:r>
              <w:rPr>
                <w:noProof/>
                <w:webHidden/>
              </w:rPr>
              <w:t>81</w:t>
            </w:r>
            <w:r>
              <w:rPr>
                <w:noProof/>
                <w:webHidden/>
              </w:rPr>
              <w:fldChar w:fldCharType="end"/>
            </w:r>
          </w:hyperlink>
        </w:p>
        <w:p w14:paraId="46ABCAA0" w14:textId="290153E9" w:rsidR="00D05FE3" w:rsidRDefault="00D05FE3">
          <w:pPr>
            <w:pStyle w:val="TOC2"/>
            <w:tabs>
              <w:tab w:val="right" w:leader="dot" w:pos="9016"/>
            </w:tabs>
            <w:rPr>
              <w:rFonts w:asciiTheme="minorHAnsi" w:eastAsiaTheme="minorEastAsia" w:hAnsiTheme="minorHAnsi" w:cstheme="minorBidi"/>
              <w:noProof/>
              <w:szCs w:val="22"/>
              <w:lang w:eastAsia="en-AU"/>
            </w:rPr>
          </w:pPr>
          <w:hyperlink w:anchor="_Toc95326314" w:history="1">
            <w:r w:rsidRPr="00F66855">
              <w:rPr>
                <w:rStyle w:val="Hyperlink"/>
                <w:noProof/>
              </w:rPr>
              <w:t>Organisations and individuals who presented written public submissions</w:t>
            </w:r>
            <w:r>
              <w:rPr>
                <w:noProof/>
                <w:webHidden/>
              </w:rPr>
              <w:tab/>
            </w:r>
            <w:r>
              <w:rPr>
                <w:noProof/>
                <w:webHidden/>
              </w:rPr>
              <w:fldChar w:fldCharType="begin"/>
            </w:r>
            <w:r>
              <w:rPr>
                <w:noProof/>
                <w:webHidden/>
              </w:rPr>
              <w:instrText xml:space="preserve"> PAGEREF _Toc95326314 \h </w:instrText>
            </w:r>
            <w:r>
              <w:rPr>
                <w:noProof/>
                <w:webHidden/>
              </w:rPr>
            </w:r>
            <w:r>
              <w:rPr>
                <w:noProof/>
                <w:webHidden/>
              </w:rPr>
              <w:fldChar w:fldCharType="separate"/>
            </w:r>
            <w:r>
              <w:rPr>
                <w:noProof/>
                <w:webHidden/>
              </w:rPr>
              <w:t>81</w:t>
            </w:r>
            <w:r>
              <w:rPr>
                <w:noProof/>
                <w:webHidden/>
              </w:rPr>
              <w:fldChar w:fldCharType="end"/>
            </w:r>
          </w:hyperlink>
        </w:p>
        <w:p w14:paraId="4789239B" w14:textId="3B1CE8D6" w:rsidR="00D05FE3" w:rsidRDefault="00D05FE3">
          <w:pPr>
            <w:pStyle w:val="TOC1"/>
            <w:tabs>
              <w:tab w:val="right" w:leader="dot" w:pos="9016"/>
            </w:tabs>
            <w:rPr>
              <w:rFonts w:asciiTheme="minorHAnsi" w:eastAsiaTheme="minorEastAsia" w:hAnsiTheme="minorHAnsi" w:cstheme="minorBidi"/>
              <w:noProof/>
              <w:szCs w:val="22"/>
              <w:lang w:eastAsia="en-AU"/>
            </w:rPr>
          </w:pPr>
          <w:hyperlink w:anchor="_Toc95326315" w:history="1">
            <w:r w:rsidRPr="00F66855">
              <w:rPr>
                <w:rStyle w:val="Hyperlink"/>
                <w:noProof/>
              </w:rPr>
              <w:t>Appendix 3</w:t>
            </w:r>
            <w:r>
              <w:rPr>
                <w:noProof/>
                <w:webHidden/>
              </w:rPr>
              <w:tab/>
            </w:r>
            <w:r>
              <w:rPr>
                <w:noProof/>
                <w:webHidden/>
              </w:rPr>
              <w:fldChar w:fldCharType="begin"/>
            </w:r>
            <w:r>
              <w:rPr>
                <w:noProof/>
                <w:webHidden/>
              </w:rPr>
              <w:instrText xml:space="preserve"> PAGEREF _Toc95326315 \h </w:instrText>
            </w:r>
            <w:r>
              <w:rPr>
                <w:noProof/>
                <w:webHidden/>
              </w:rPr>
            </w:r>
            <w:r>
              <w:rPr>
                <w:noProof/>
                <w:webHidden/>
              </w:rPr>
              <w:fldChar w:fldCharType="separate"/>
            </w:r>
            <w:r>
              <w:rPr>
                <w:noProof/>
                <w:webHidden/>
              </w:rPr>
              <w:t>88</w:t>
            </w:r>
            <w:r>
              <w:rPr>
                <w:noProof/>
                <w:webHidden/>
              </w:rPr>
              <w:fldChar w:fldCharType="end"/>
            </w:r>
          </w:hyperlink>
        </w:p>
        <w:p w14:paraId="7327D616" w14:textId="547FB7D4" w:rsidR="00D05FE3" w:rsidRDefault="00D05FE3">
          <w:pPr>
            <w:pStyle w:val="TOC2"/>
            <w:tabs>
              <w:tab w:val="right" w:leader="dot" w:pos="9016"/>
            </w:tabs>
            <w:rPr>
              <w:rFonts w:asciiTheme="minorHAnsi" w:eastAsiaTheme="minorEastAsia" w:hAnsiTheme="minorHAnsi" w:cstheme="minorBidi"/>
              <w:noProof/>
              <w:szCs w:val="22"/>
              <w:lang w:eastAsia="en-AU"/>
            </w:rPr>
          </w:pPr>
          <w:hyperlink w:anchor="_Toc95326316" w:history="1">
            <w:r w:rsidRPr="00F66855">
              <w:rPr>
                <w:rStyle w:val="Hyperlink"/>
                <w:noProof/>
              </w:rPr>
              <w:t>List of attendees who appeared before the panel at public consultations</w:t>
            </w:r>
            <w:r>
              <w:rPr>
                <w:noProof/>
                <w:webHidden/>
              </w:rPr>
              <w:tab/>
            </w:r>
            <w:r>
              <w:rPr>
                <w:noProof/>
                <w:webHidden/>
              </w:rPr>
              <w:fldChar w:fldCharType="begin"/>
            </w:r>
            <w:r>
              <w:rPr>
                <w:noProof/>
                <w:webHidden/>
              </w:rPr>
              <w:instrText xml:space="preserve"> PAGEREF _Toc95326316 \h </w:instrText>
            </w:r>
            <w:r>
              <w:rPr>
                <w:noProof/>
                <w:webHidden/>
              </w:rPr>
            </w:r>
            <w:r>
              <w:rPr>
                <w:noProof/>
                <w:webHidden/>
              </w:rPr>
              <w:fldChar w:fldCharType="separate"/>
            </w:r>
            <w:r>
              <w:rPr>
                <w:noProof/>
                <w:webHidden/>
              </w:rPr>
              <w:t>88</w:t>
            </w:r>
            <w:r>
              <w:rPr>
                <w:noProof/>
                <w:webHidden/>
              </w:rPr>
              <w:fldChar w:fldCharType="end"/>
            </w:r>
          </w:hyperlink>
        </w:p>
        <w:p w14:paraId="5A4CEF98" w14:textId="42E75B5D" w:rsidR="00D05FE3" w:rsidRDefault="00D05FE3">
          <w:pPr>
            <w:pStyle w:val="TOC1"/>
            <w:tabs>
              <w:tab w:val="right" w:leader="dot" w:pos="9016"/>
            </w:tabs>
            <w:rPr>
              <w:rFonts w:asciiTheme="minorHAnsi" w:eastAsiaTheme="minorEastAsia" w:hAnsiTheme="minorHAnsi" w:cstheme="minorBidi"/>
              <w:noProof/>
              <w:szCs w:val="22"/>
              <w:lang w:eastAsia="en-AU"/>
            </w:rPr>
          </w:pPr>
          <w:hyperlink w:anchor="_Toc95326317" w:history="1">
            <w:r w:rsidRPr="00F66855">
              <w:rPr>
                <w:rStyle w:val="Hyperlink"/>
                <w:noProof/>
              </w:rPr>
              <w:t>Appendix 4</w:t>
            </w:r>
            <w:r>
              <w:rPr>
                <w:noProof/>
                <w:webHidden/>
              </w:rPr>
              <w:tab/>
            </w:r>
            <w:r>
              <w:rPr>
                <w:noProof/>
                <w:webHidden/>
              </w:rPr>
              <w:fldChar w:fldCharType="begin"/>
            </w:r>
            <w:r>
              <w:rPr>
                <w:noProof/>
                <w:webHidden/>
              </w:rPr>
              <w:instrText xml:space="preserve"> PAGEREF _Toc95326317 \h </w:instrText>
            </w:r>
            <w:r>
              <w:rPr>
                <w:noProof/>
                <w:webHidden/>
              </w:rPr>
            </w:r>
            <w:r>
              <w:rPr>
                <w:noProof/>
                <w:webHidden/>
              </w:rPr>
              <w:fldChar w:fldCharType="separate"/>
            </w:r>
            <w:r>
              <w:rPr>
                <w:noProof/>
                <w:webHidden/>
              </w:rPr>
              <w:t>94</w:t>
            </w:r>
            <w:r>
              <w:rPr>
                <w:noProof/>
                <w:webHidden/>
              </w:rPr>
              <w:fldChar w:fldCharType="end"/>
            </w:r>
          </w:hyperlink>
        </w:p>
        <w:p w14:paraId="54907FBF" w14:textId="2A549A05" w:rsidR="00D05FE3" w:rsidRDefault="00D05FE3">
          <w:pPr>
            <w:pStyle w:val="TOC2"/>
            <w:tabs>
              <w:tab w:val="right" w:leader="dot" w:pos="9016"/>
            </w:tabs>
            <w:rPr>
              <w:rFonts w:asciiTheme="minorHAnsi" w:eastAsiaTheme="minorEastAsia" w:hAnsiTheme="minorHAnsi" w:cstheme="minorBidi"/>
              <w:noProof/>
              <w:szCs w:val="22"/>
              <w:lang w:eastAsia="en-AU"/>
            </w:rPr>
          </w:pPr>
          <w:hyperlink w:anchor="_Toc95326318" w:history="1">
            <w:r w:rsidRPr="00F66855">
              <w:rPr>
                <w:rStyle w:val="Hyperlink"/>
                <w:noProof/>
              </w:rPr>
              <w:t xml:space="preserve">The application approval process outlined in the </w:t>
            </w:r>
            <w:r w:rsidRPr="00F66855">
              <w:rPr>
                <w:rStyle w:val="Hyperlink"/>
                <w:i/>
                <w:iCs/>
                <w:noProof/>
              </w:rPr>
              <w:t>Gene Technology Act 2000</w:t>
            </w:r>
            <w:r>
              <w:rPr>
                <w:noProof/>
                <w:webHidden/>
              </w:rPr>
              <w:tab/>
            </w:r>
            <w:r>
              <w:rPr>
                <w:noProof/>
                <w:webHidden/>
              </w:rPr>
              <w:fldChar w:fldCharType="begin"/>
            </w:r>
            <w:r>
              <w:rPr>
                <w:noProof/>
                <w:webHidden/>
              </w:rPr>
              <w:instrText xml:space="preserve"> PAGEREF _Toc95326318 \h </w:instrText>
            </w:r>
            <w:r>
              <w:rPr>
                <w:noProof/>
                <w:webHidden/>
              </w:rPr>
            </w:r>
            <w:r>
              <w:rPr>
                <w:noProof/>
                <w:webHidden/>
              </w:rPr>
              <w:fldChar w:fldCharType="separate"/>
            </w:r>
            <w:r>
              <w:rPr>
                <w:noProof/>
                <w:webHidden/>
              </w:rPr>
              <w:t>94</w:t>
            </w:r>
            <w:r>
              <w:rPr>
                <w:noProof/>
                <w:webHidden/>
              </w:rPr>
              <w:fldChar w:fldCharType="end"/>
            </w:r>
          </w:hyperlink>
        </w:p>
        <w:p w14:paraId="4681A0F2" w14:textId="30988AC6" w:rsidR="00D05FE3" w:rsidRDefault="00D05FE3">
          <w:pPr>
            <w:pStyle w:val="TOC1"/>
            <w:tabs>
              <w:tab w:val="right" w:leader="dot" w:pos="9016"/>
            </w:tabs>
            <w:rPr>
              <w:rFonts w:asciiTheme="minorHAnsi" w:eastAsiaTheme="minorEastAsia" w:hAnsiTheme="minorHAnsi" w:cstheme="minorBidi"/>
              <w:noProof/>
              <w:szCs w:val="22"/>
              <w:lang w:eastAsia="en-AU"/>
            </w:rPr>
          </w:pPr>
          <w:hyperlink w:anchor="_Toc95326319" w:history="1">
            <w:r w:rsidRPr="00F66855">
              <w:rPr>
                <w:rStyle w:val="Hyperlink"/>
                <w:noProof/>
              </w:rPr>
              <w:t>Appendix 5</w:t>
            </w:r>
            <w:r>
              <w:rPr>
                <w:noProof/>
                <w:webHidden/>
              </w:rPr>
              <w:tab/>
            </w:r>
            <w:r>
              <w:rPr>
                <w:noProof/>
                <w:webHidden/>
              </w:rPr>
              <w:fldChar w:fldCharType="begin"/>
            </w:r>
            <w:r>
              <w:rPr>
                <w:noProof/>
                <w:webHidden/>
              </w:rPr>
              <w:instrText xml:space="preserve"> PAGEREF _Toc95326319 \h </w:instrText>
            </w:r>
            <w:r>
              <w:rPr>
                <w:noProof/>
                <w:webHidden/>
              </w:rPr>
            </w:r>
            <w:r>
              <w:rPr>
                <w:noProof/>
                <w:webHidden/>
              </w:rPr>
              <w:fldChar w:fldCharType="separate"/>
            </w:r>
            <w:r>
              <w:rPr>
                <w:noProof/>
                <w:webHidden/>
              </w:rPr>
              <w:t>105</w:t>
            </w:r>
            <w:r>
              <w:rPr>
                <w:noProof/>
                <w:webHidden/>
              </w:rPr>
              <w:fldChar w:fldCharType="end"/>
            </w:r>
          </w:hyperlink>
        </w:p>
        <w:p w14:paraId="76084697" w14:textId="1D749369" w:rsidR="00D05FE3" w:rsidRDefault="00D05FE3">
          <w:pPr>
            <w:pStyle w:val="TOC2"/>
            <w:tabs>
              <w:tab w:val="right" w:leader="dot" w:pos="9016"/>
            </w:tabs>
            <w:rPr>
              <w:rFonts w:asciiTheme="minorHAnsi" w:eastAsiaTheme="minorEastAsia" w:hAnsiTheme="minorHAnsi" w:cstheme="minorBidi"/>
              <w:noProof/>
              <w:szCs w:val="22"/>
              <w:lang w:eastAsia="en-AU"/>
            </w:rPr>
          </w:pPr>
          <w:hyperlink w:anchor="_Toc95326320" w:history="1">
            <w:r w:rsidRPr="00F66855">
              <w:rPr>
                <w:rStyle w:val="Hyperlink"/>
                <w:noProof/>
              </w:rPr>
              <w:t>Structure of the Ofﬁce of the Gene Technology Regulator</w:t>
            </w:r>
            <w:r>
              <w:rPr>
                <w:noProof/>
                <w:webHidden/>
              </w:rPr>
              <w:tab/>
            </w:r>
            <w:r>
              <w:rPr>
                <w:noProof/>
                <w:webHidden/>
              </w:rPr>
              <w:fldChar w:fldCharType="begin"/>
            </w:r>
            <w:r>
              <w:rPr>
                <w:noProof/>
                <w:webHidden/>
              </w:rPr>
              <w:instrText xml:space="preserve"> PAGEREF _Toc95326320 \h </w:instrText>
            </w:r>
            <w:r>
              <w:rPr>
                <w:noProof/>
                <w:webHidden/>
              </w:rPr>
            </w:r>
            <w:r>
              <w:rPr>
                <w:noProof/>
                <w:webHidden/>
              </w:rPr>
              <w:fldChar w:fldCharType="separate"/>
            </w:r>
            <w:r>
              <w:rPr>
                <w:noProof/>
                <w:webHidden/>
              </w:rPr>
              <w:t>105</w:t>
            </w:r>
            <w:r>
              <w:rPr>
                <w:noProof/>
                <w:webHidden/>
              </w:rPr>
              <w:fldChar w:fldCharType="end"/>
            </w:r>
          </w:hyperlink>
        </w:p>
        <w:p w14:paraId="36891787" w14:textId="4298A465" w:rsidR="00D05FE3" w:rsidRDefault="00D05FE3">
          <w:pPr>
            <w:pStyle w:val="TOC1"/>
            <w:tabs>
              <w:tab w:val="right" w:leader="dot" w:pos="9016"/>
            </w:tabs>
            <w:rPr>
              <w:rFonts w:asciiTheme="minorHAnsi" w:eastAsiaTheme="minorEastAsia" w:hAnsiTheme="minorHAnsi" w:cstheme="minorBidi"/>
              <w:noProof/>
              <w:szCs w:val="22"/>
              <w:lang w:eastAsia="en-AU"/>
            </w:rPr>
          </w:pPr>
          <w:hyperlink w:anchor="_Toc95326321" w:history="1">
            <w:r w:rsidRPr="00F66855">
              <w:rPr>
                <w:rStyle w:val="Hyperlink"/>
                <w:noProof/>
              </w:rPr>
              <w:t>Appendix 6</w:t>
            </w:r>
            <w:r>
              <w:rPr>
                <w:noProof/>
                <w:webHidden/>
              </w:rPr>
              <w:tab/>
            </w:r>
            <w:r>
              <w:rPr>
                <w:noProof/>
                <w:webHidden/>
              </w:rPr>
              <w:fldChar w:fldCharType="begin"/>
            </w:r>
            <w:r>
              <w:rPr>
                <w:noProof/>
                <w:webHidden/>
              </w:rPr>
              <w:instrText xml:space="preserve"> PAGEREF _Toc95326321 \h </w:instrText>
            </w:r>
            <w:r>
              <w:rPr>
                <w:noProof/>
                <w:webHidden/>
              </w:rPr>
            </w:r>
            <w:r>
              <w:rPr>
                <w:noProof/>
                <w:webHidden/>
              </w:rPr>
              <w:fldChar w:fldCharType="separate"/>
            </w:r>
            <w:r>
              <w:rPr>
                <w:noProof/>
                <w:webHidden/>
              </w:rPr>
              <w:t>108</w:t>
            </w:r>
            <w:r>
              <w:rPr>
                <w:noProof/>
                <w:webHidden/>
              </w:rPr>
              <w:fldChar w:fldCharType="end"/>
            </w:r>
          </w:hyperlink>
        </w:p>
        <w:p w14:paraId="44585582" w14:textId="70D0EE78" w:rsidR="00D05FE3" w:rsidRDefault="00D05FE3">
          <w:pPr>
            <w:pStyle w:val="TOC2"/>
            <w:tabs>
              <w:tab w:val="right" w:leader="dot" w:pos="9016"/>
            </w:tabs>
            <w:rPr>
              <w:rFonts w:asciiTheme="minorHAnsi" w:eastAsiaTheme="minorEastAsia" w:hAnsiTheme="minorHAnsi" w:cstheme="minorBidi"/>
              <w:noProof/>
              <w:szCs w:val="22"/>
              <w:lang w:eastAsia="en-AU"/>
            </w:rPr>
          </w:pPr>
          <w:hyperlink w:anchor="_Toc95326322" w:history="1">
            <w:r w:rsidRPr="00F66855">
              <w:rPr>
                <w:rStyle w:val="Hyperlink"/>
                <w:noProof/>
              </w:rPr>
              <w:t>The Inter-governmental Agreement on Gene Technology</w:t>
            </w:r>
            <w:r>
              <w:rPr>
                <w:noProof/>
                <w:webHidden/>
              </w:rPr>
              <w:tab/>
            </w:r>
            <w:r>
              <w:rPr>
                <w:noProof/>
                <w:webHidden/>
              </w:rPr>
              <w:fldChar w:fldCharType="begin"/>
            </w:r>
            <w:r>
              <w:rPr>
                <w:noProof/>
                <w:webHidden/>
              </w:rPr>
              <w:instrText xml:space="preserve"> PAGEREF _Toc95326322 \h </w:instrText>
            </w:r>
            <w:r>
              <w:rPr>
                <w:noProof/>
                <w:webHidden/>
              </w:rPr>
            </w:r>
            <w:r>
              <w:rPr>
                <w:noProof/>
                <w:webHidden/>
              </w:rPr>
              <w:fldChar w:fldCharType="separate"/>
            </w:r>
            <w:r>
              <w:rPr>
                <w:noProof/>
                <w:webHidden/>
              </w:rPr>
              <w:t>108</w:t>
            </w:r>
            <w:r>
              <w:rPr>
                <w:noProof/>
                <w:webHidden/>
              </w:rPr>
              <w:fldChar w:fldCharType="end"/>
            </w:r>
          </w:hyperlink>
        </w:p>
        <w:p w14:paraId="0BD5304D" w14:textId="3FBB61B0" w:rsidR="00D05FE3" w:rsidRDefault="00D05FE3">
          <w:pPr>
            <w:pStyle w:val="TOC1"/>
            <w:tabs>
              <w:tab w:val="right" w:leader="dot" w:pos="9016"/>
            </w:tabs>
            <w:rPr>
              <w:rFonts w:asciiTheme="minorHAnsi" w:eastAsiaTheme="minorEastAsia" w:hAnsiTheme="minorHAnsi" w:cstheme="minorBidi"/>
              <w:noProof/>
              <w:szCs w:val="22"/>
              <w:lang w:eastAsia="en-AU"/>
            </w:rPr>
          </w:pPr>
          <w:hyperlink w:anchor="_Toc95326323" w:history="1">
            <w:r w:rsidRPr="00F66855">
              <w:rPr>
                <w:rStyle w:val="Hyperlink"/>
                <w:noProof/>
              </w:rPr>
              <w:t>Appendix 7</w:t>
            </w:r>
            <w:r>
              <w:rPr>
                <w:noProof/>
                <w:webHidden/>
              </w:rPr>
              <w:tab/>
            </w:r>
            <w:r>
              <w:rPr>
                <w:noProof/>
                <w:webHidden/>
              </w:rPr>
              <w:fldChar w:fldCharType="begin"/>
            </w:r>
            <w:r>
              <w:rPr>
                <w:noProof/>
                <w:webHidden/>
              </w:rPr>
              <w:instrText xml:space="preserve"> PAGEREF _Toc95326323 \h </w:instrText>
            </w:r>
            <w:r>
              <w:rPr>
                <w:noProof/>
                <w:webHidden/>
              </w:rPr>
            </w:r>
            <w:r>
              <w:rPr>
                <w:noProof/>
                <w:webHidden/>
              </w:rPr>
              <w:fldChar w:fldCharType="separate"/>
            </w:r>
            <w:r>
              <w:rPr>
                <w:noProof/>
                <w:webHidden/>
              </w:rPr>
              <w:t>117</w:t>
            </w:r>
            <w:r>
              <w:rPr>
                <w:noProof/>
                <w:webHidden/>
              </w:rPr>
              <w:fldChar w:fldCharType="end"/>
            </w:r>
          </w:hyperlink>
        </w:p>
        <w:p w14:paraId="0CAAA5CF" w14:textId="26E85CA6" w:rsidR="00D05FE3" w:rsidRDefault="00D05FE3">
          <w:pPr>
            <w:pStyle w:val="TOC2"/>
            <w:tabs>
              <w:tab w:val="right" w:leader="dot" w:pos="9016"/>
            </w:tabs>
            <w:rPr>
              <w:rFonts w:asciiTheme="minorHAnsi" w:eastAsiaTheme="minorEastAsia" w:hAnsiTheme="minorHAnsi" w:cstheme="minorBidi"/>
              <w:noProof/>
              <w:szCs w:val="22"/>
              <w:lang w:eastAsia="en-AU"/>
            </w:rPr>
          </w:pPr>
          <w:hyperlink w:anchor="_Toc95326324" w:history="1">
            <w:r w:rsidRPr="00F66855">
              <w:rPr>
                <w:rStyle w:val="Hyperlink"/>
                <w:noProof/>
              </w:rPr>
              <w:t>Technical amendments recommended by the Regulator</w:t>
            </w:r>
            <w:r>
              <w:rPr>
                <w:noProof/>
                <w:webHidden/>
              </w:rPr>
              <w:tab/>
            </w:r>
            <w:r>
              <w:rPr>
                <w:noProof/>
                <w:webHidden/>
              </w:rPr>
              <w:fldChar w:fldCharType="begin"/>
            </w:r>
            <w:r>
              <w:rPr>
                <w:noProof/>
                <w:webHidden/>
              </w:rPr>
              <w:instrText xml:space="preserve"> PAGEREF _Toc95326324 \h </w:instrText>
            </w:r>
            <w:r>
              <w:rPr>
                <w:noProof/>
                <w:webHidden/>
              </w:rPr>
            </w:r>
            <w:r>
              <w:rPr>
                <w:noProof/>
                <w:webHidden/>
              </w:rPr>
              <w:fldChar w:fldCharType="separate"/>
            </w:r>
            <w:r>
              <w:rPr>
                <w:noProof/>
                <w:webHidden/>
              </w:rPr>
              <w:t>117</w:t>
            </w:r>
            <w:r>
              <w:rPr>
                <w:noProof/>
                <w:webHidden/>
              </w:rPr>
              <w:fldChar w:fldCharType="end"/>
            </w:r>
          </w:hyperlink>
        </w:p>
        <w:p w14:paraId="09A7B3A5" w14:textId="702CF2B6" w:rsidR="00D05FE3" w:rsidRDefault="00D05FE3">
          <w:pPr>
            <w:pStyle w:val="TOC1"/>
            <w:tabs>
              <w:tab w:val="right" w:leader="dot" w:pos="9016"/>
            </w:tabs>
            <w:rPr>
              <w:rFonts w:asciiTheme="minorHAnsi" w:eastAsiaTheme="minorEastAsia" w:hAnsiTheme="minorHAnsi" w:cstheme="minorBidi"/>
              <w:noProof/>
              <w:szCs w:val="22"/>
              <w:lang w:eastAsia="en-AU"/>
            </w:rPr>
          </w:pPr>
          <w:hyperlink w:anchor="_Toc95326325" w:history="1">
            <w:r w:rsidRPr="00F66855">
              <w:rPr>
                <w:rStyle w:val="Hyperlink"/>
                <w:noProof/>
              </w:rPr>
              <w:t>Appendix 8</w:t>
            </w:r>
            <w:r>
              <w:rPr>
                <w:noProof/>
                <w:webHidden/>
              </w:rPr>
              <w:tab/>
            </w:r>
            <w:r>
              <w:rPr>
                <w:noProof/>
                <w:webHidden/>
              </w:rPr>
              <w:fldChar w:fldCharType="begin"/>
            </w:r>
            <w:r>
              <w:rPr>
                <w:noProof/>
                <w:webHidden/>
              </w:rPr>
              <w:instrText xml:space="preserve"> PAGEREF _Toc95326325 \h </w:instrText>
            </w:r>
            <w:r>
              <w:rPr>
                <w:noProof/>
                <w:webHidden/>
              </w:rPr>
            </w:r>
            <w:r>
              <w:rPr>
                <w:noProof/>
                <w:webHidden/>
              </w:rPr>
              <w:fldChar w:fldCharType="separate"/>
            </w:r>
            <w:r>
              <w:rPr>
                <w:noProof/>
                <w:webHidden/>
              </w:rPr>
              <w:t>120</w:t>
            </w:r>
            <w:r>
              <w:rPr>
                <w:noProof/>
                <w:webHidden/>
              </w:rPr>
              <w:fldChar w:fldCharType="end"/>
            </w:r>
          </w:hyperlink>
        </w:p>
        <w:p w14:paraId="01A37253" w14:textId="2746AA38" w:rsidR="00D05FE3" w:rsidRDefault="00D05FE3">
          <w:pPr>
            <w:pStyle w:val="TOC2"/>
            <w:tabs>
              <w:tab w:val="right" w:leader="dot" w:pos="9016"/>
            </w:tabs>
            <w:rPr>
              <w:rFonts w:asciiTheme="minorHAnsi" w:eastAsiaTheme="minorEastAsia" w:hAnsiTheme="minorHAnsi" w:cstheme="minorBidi"/>
              <w:noProof/>
              <w:szCs w:val="22"/>
              <w:lang w:eastAsia="en-AU"/>
            </w:rPr>
          </w:pPr>
          <w:hyperlink w:anchor="_Toc95326326" w:history="1">
            <w:r w:rsidRPr="00F66855">
              <w:rPr>
                <w:rStyle w:val="Hyperlink"/>
                <w:noProof/>
              </w:rPr>
              <w:t>Regulation of gene technology in European community</w:t>
            </w:r>
            <w:r>
              <w:rPr>
                <w:noProof/>
                <w:webHidden/>
              </w:rPr>
              <w:tab/>
            </w:r>
            <w:r>
              <w:rPr>
                <w:noProof/>
                <w:webHidden/>
              </w:rPr>
              <w:fldChar w:fldCharType="begin"/>
            </w:r>
            <w:r>
              <w:rPr>
                <w:noProof/>
                <w:webHidden/>
              </w:rPr>
              <w:instrText xml:space="preserve"> PAGEREF _Toc95326326 \h </w:instrText>
            </w:r>
            <w:r>
              <w:rPr>
                <w:noProof/>
                <w:webHidden/>
              </w:rPr>
            </w:r>
            <w:r>
              <w:rPr>
                <w:noProof/>
                <w:webHidden/>
              </w:rPr>
              <w:fldChar w:fldCharType="separate"/>
            </w:r>
            <w:r>
              <w:rPr>
                <w:noProof/>
                <w:webHidden/>
              </w:rPr>
              <w:t>120</w:t>
            </w:r>
            <w:r>
              <w:rPr>
                <w:noProof/>
                <w:webHidden/>
              </w:rPr>
              <w:fldChar w:fldCharType="end"/>
            </w:r>
          </w:hyperlink>
        </w:p>
        <w:p w14:paraId="76658229" w14:textId="17BC721F" w:rsidR="00D05FE3" w:rsidRDefault="00D05FE3">
          <w:pPr>
            <w:pStyle w:val="TOC2"/>
            <w:tabs>
              <w:tab w:val="right" w:leader="dot" w:pos="9016"/>
            </w:tabs>
            <w:rPr>
              <w:rFonts w:asciiTheme="minorHAnsi" w:eastAsiaTheme="minorEastAsia" w:hAnsiTheme="minorHAnsi" w:cstheme="minorBidi"/>
              <w:noProof/>
              <w:szCs w:val="22"/>
              <w:lang w:eastAsia="en-AU"/>
            </w:rPr>
          </w:pPr>
          <w:hyperlink w:anchor="_Toc95326327" w:history="1">
            <w:r w:rsidRPr="00F66855">
              <w:rPr>
                <w:rStyle w:val="Hyperlink"/>
                <w:noProof/>
              </w:rPr>
              <w:t>Regulation of gene technology in New Zealand</w:t>
            </w:r>
            <w:r>
              <w:rPr>
                <w:noProof/>
                <w:webHidden/>
              </w:rPr>
              <w:tab/>
            </w:r>
            <w:r>
              <w:rPr>
                <w:noProof/>
                <w:webHidden/>
              </w:rPr>
              <w:fldChar w:fldCharType="begin"/>
            </w:r>
            <w:r>
              <w:rPr>
                <w:noProof/>
                <w:webHidden/>
              </w:rPr>
              <w:instrText xml:space="preserve"> PAGEREF _Toc95326327 \h </w:instrText>
            </w:r>
            <w:r>
              <w:rPr>
                <w:noProof/>
                <w:webHidden/>
              </w:rPr>
            </w:r>
            <w:r>
              <w:rPr>
                <w:noProof/>
                <w:webHidden/>
              </w:rPr>
              <w:fldChar w:fldCharType="separate"/>
            </w:r>
            <w:r>
              <w:rPr>
                <w:noProof/>
                <w:webHidden/>
              </w:rPr>
              <w:t>132</w:t>
            </w:r>
            <w:r>
              <w:rPr>
                <w:noProof/>
                <w:webHidden/>
              </w:rPr>
              <w:fldChar w:fldCharType="end"/>
            </w:r>
          </w:hyperlink>
        </w:p>
        <w:p w14:paraId="2F3F5EF3" w14:textId="67885F35" w:rsidR="00D05FE3" w:rsidRDefault="00D05FE3">
          <w:pPr>
            <w:pStyle w:val="TOC2"/>
            <w:tabs>
              <w:tab w:val="right" w:leader="dot" w:pos="9016"/>
            </w:tabs>
            <w:rPr>
              <w:rFonts w:asciiTheme="minorHAnsi" w:eastAsiaTheme="minorEastAsia" w:hAnsiTheme="minorHAnsi" w:cstheme="minorBidi"/>
              <w:noProof/>
              <w:szCs w:val="22"/>
              <w:lang w:eastAsia="en-AU"/>
            </w:rPr>
          </w:pPr>
          <w:hyperlink w:anchor="_Toc95326328" w:history="1">
            <w:r w:rsidRPr="00F66855">
              <w:rPr>
                <w:rStyle w:val="Hyperlink"/>
                <w:noProof/>
              </w:rPr>
              <w:t>Regulation of gene technology in Japan</w:t>
            </w:r>
            <w:r>
              <w:rPr>
                <w:noProof/>
                <w:webHidden/>
              </w:rPr>
              <w:tab/>
            </w:r>
            <w:r>
              <w:rPr>
                <w:noProof/>
                <w:webHidden/>
              </w:rPr>
              <w:fldChar w:fldCharType="begin"/>
            </w:r>
            <w:r>
              <w:rPr>
                <w:noProof/>
                <w:webHidden/>
              </w:rPr>
              <w:instrText xml:space="preserve"> PAGEREF _Toc95326328 \h </w:instrText>
            </w:r>
            <w:r>
              <w:rPr>
                <w:noProof/>
                <w:webHidden/>
              </w:rPr>
            </w:r>
            <w:r>
              <w:rPr>
                <w:noProof/>
                <w:webHidden/>
              </w:rPr>
              <w:fldChar w:fldCharType="separate"/>
            </w:r>
            <w:r>
              <w:rPr>
                <w:noProof/>
                <w:webHidden/>
              </w:rPr>
              <w:t>141</w:t>
            </w:r>
            <w:r>
              <w:rPr>
                <w:noProof/>
                <w:webHidden/>
              </w:rPr>
              <w:fldChar w:fldCharType="end"/>
            </w:r>
          </w:hyperlink>
        </w:p>
        <w:p w14:paraId="2D2A5FA1" w14:textId="1B07B66F" w:rsidR="00D05FE3" w:rsidRDefault="00D05FE3">
          <w:pPr>
            <w:pStyle w:val="TOC1"/>
            <w:tabs>
              <w:tab w:val="right" w:leader="dot" w:pos="9016"/>
            </w:tabs>
            <w:rPr>
              <w:rFonts w:asciiTheme="minorHAnsi" w:eastAsiaTheme="minorEastAsia" w:hAnsiTheme="minorHAnsi" w:cstheme="minorBidi"/>
              <w:noProof/>
              <w:szCs w:val="22"/>
              <w:lang w:eastAsia="en-AU"/>
            </w:rPr>
          </w:pPr>
          <w:hyperlink w:anchor="_Toc95326329" w:history="1">
            <w:r w:rsidRPr="00F66855">
              <w:rPr>
                <w:rStyle w:val="Hyperlink"/>
                <w:noProof/>
              </w:rPr>
              <w:t>Appendix 9</w:t>
            </w:r>
            <w:r>
              <w:rPr>
                <w:noProof/>
                <w:webHidden/>
              </w:rPr>
              <w:tab/>
            </w:r>
            <w:r>
              <w:rPr>
                <w:noProof/>
                <w:webHidden/>
              </w:rPr>
              <w:fldChar w:fldCharType="begin"/>
            </w:r>
            <w:r>
              <w:rPr>
                <w:noProof/>
                <w:webHidden/>
              </w:rPr>
              <w:instrText xml:space="preserve"> PAGEREF _Toc95326329 \h </w:instrText>
            </w:r>
            <w:r>
              <w:rPr>
                <w:noProof/>
                <w:webHidden/>
              </w:rPr>
            </w:r>
            <w:r>
              <w:rPr>
                <w:noProof/>
                <w:webHidden/>
              </w:rPr>
              <w:fldChar w:fldCharType="separate"/>
            </w:r>
            <w:r>
              <w:rPr>
                <w:noProof/>
                <w:webHidden/>
              </w:rPr>
              <w:t>144</w:t>
            </w:r>
            <w:r>
              <w:rPr>
                <w:noProof/>
                <w:webHidden/>
              </w:rPr>
              <w:fldChar w:fldCharType="end"/>
            </w:r>
          </w:hyperlink>
        </w:p>
        <w:p w14:paraId="4DA364AD" w14:textId="2CE6816C" w:rsidR="00D05FE3" w:rsidRDefault="00D05FE3">
          <w:pPr>
            <w:pStyle w:val="TOC2"/>
            <w:tabs>
              <w:tab w:val="right" w:leader="dot" w:pos="9016"/>
            </w:tabs>
            <w:rPr>
              <w:rFonts w:asciiTheme="minorHAnsi" w:eastAsiaTheme="minorEastAsia" w:hAnsiTheme="minorHAnsi" w:cstheme="minorBidi"/>
              <w:noProof/>
              <w:szCs w:val="22"/>
              <w:lang w:eastAsia="en-AU"/>
            </w:rPr>
          </w:pPr>
          <w:hyperlink w:anchor="_Toc95326330" w:history="1">
            <w:r w:rsidRPr="00F66855">
              <w:rPr>
                <w:rStyle w:val="Hyperlink"/>
                <w:noProof/>
              </w:rPr>
              <w:t>Developing strategies for GM and non-GM crops in Queensland: a framework for co-existence</w:t>
            </w:r>
            <w:r>
              <w:rPr>
                <w:noProof/>
                <w:webHidden/>
              </w:rPr>
              <w:tab/>
            </w:r>
            <w:r>
              <w:rPr>
                <w:noProof/>
                <w:webHidden/>
              </w:rPr>
              <w:fldChar w:fldCharType="begin"/>
            </w:r>
            <w:r>
              <w:rPr>
                <w:noProof/>
                <w:webHidden/>
              </w:rPr>
              <w:instrText xml:space="preserve"> PAGEREF _Toc95326330 \h </w:instrText>
            </w:r>
            <w:r>
              <w:rPr>
                <w:noProof/>
                <w:webHidden/>
              </w:rPr>
            </w:r>
            <w:r>
              <w:rPr>
                <w:noProof/>
                <w:webHidden/>
              </w:rPr>
              <w:fldChar w:fldCharType="separate"/>
            </w:r>
            <w:r>
              <w:rPr>
                <w:noProof/>
                <w:webHidden/>
              </w:rPr>
              <w:t>144</w:t>
            </w:r>
            <w:r>
              <w:rPr>
                <w:noProof/>
                <w:webHidden/>
              </w:rPr>
              <w:fldChar w:fldCharType="end"/>
            </w:r>
          </w:hyperlink>
        </w:p>
        <w:p w14:paraId="68B55764" w14:textId="105A1BBD" w:rsidR="00DD3ADB" w:rsidRDefault="005B0F51">
          <w:r>
            <w:fldChar w:fldCharType="end"/>
          </w:r>
        </w:p>
      </w:sdtContent>
    </w:sdt>
    <w:p w14:paraId="2C896552" w14:textId="58DB6B68" w:rsidR="00E70AE3" w:rsidRPr="00E70AE3" w:rsidRDefault="00621A9C" w:rsidP="006221B5">
      <w:pPr>
        <w:pStyle w:val="Heading1"/>
      </w:pPr>
      <w:bookmarkStart w:id="0" w:name="_Toc95326234"/>
      <w:r w:rsidRPr="005C1F1B">
        <w:t xml:space="preserve">List of </w:t>
      </w:r>
      <w:r w:rsidR="00E8364F">
        <w:t>t</w:t>
      </w:r>
      <w:r w:rsidRPr="005C1F1B">
        <w:t>ables</w:t>
      </w:r>
      <w:bookmarkEnd w:id="0"/>
    </w:p>
    <w:p w14:paraId="2E00C8F1" w14:textId="3B13356D" w:rsidR="00621A9C" w:rsidRPr="00802A9E" w:rsidRDefault="00621A9C" w:rsidP="009F018E">
      <w:pPr>
        <w:pStyle w:val="ListParagraph"/>
        <w:numPr>
          <w:ilvl w:val="0"/>
          <w:numId w:val="1"/>
        </w:numPr>
      </w:pPr>
      <w:r w:rsidRPr="00802A9E">
        <w:t xml:space="preserve">Table 1: Other Commonwealth Agencies in Australia with a role in regulating gene technology </w:t>
      </w:r>
      <w:r w:rsidR="005407C1">
        <w:t>19</w:t>
      </w:r>
    </w:p>
    <w:p w14:paraId="6F298A55" w14:textId="3A13A4F4" w:rsidR="00621A9C" w:rsidRPr="00802A9E" w:rsidRDefault="00621A9C" w:rsidP="009F018E">
      <w:pPr>
        <w:pStyle w:val="ListParagraph"/>
        <w:numPr>
          <w:ilvl w:val="0"/>
          <w:numId w:val="1"/>
        </w:numPr>
      </w:pPr>
      <w:r w:rsidRPr="00802A9E">
        <w:t xml:space="preserve">Table 2: Statutory time frames for applications under the Act </w:t>
      </w:r>
      <w:r w:rsidR="00F20A29">
        <w:t>44</w:t>
      </w:r>
    </w:p>
    <w:p w14:paraId="27ACD558" w14:textId="67FF0A7C" w:rsidR="00621A9C" w:rsidRPr="00802A9E" w:rsidRDefault="00621A9C" w:rsidP="009F018E">
      <w:pPr>
        <w:pStyle w:val="ListParagraph"/>
        <w:numPr>
          <w:ilvl w:val="0"/>
          <w:numId w:val="1"/>
        </w:numPr>
      </w:pPr>
      <w:r w:rsidRPr="00802A9E">
        <w:t xml:space="preserve">Table 3: Summary of changes proposed to alleviate regulatory and administrative burden </w:t>
      </w:r>
      <w:r w:rsidR="008F3DC6">
        <w:t>5</w:t>
      </w:r>
      <w:r w:rsidRPr="00802A9E">
        <w:t>6</w:t>
      </w:r>
    </w:p>
    <w:p w14:paraId="2C814B31" w14:textId="08FE9596" w:rsidR="00621A9C" w:rsidRPr="00802A9E" w:rsidRDefault="00621A9C" w:rsidP="009F018E">
      <w:pPr>
        <w:pStyle w:val="ListParagraph"/>
        <w:numPr>
          <w:ilvl w:val="0"/>
          <w:numId w:val="1"/>
        </w:numPr>
      </w:pPr>
      <w:r w:rsidRPr="00802A9E">
        <w:t xml:space="preserve">Table 4: Comparisons across Commonwealth regulatory agencies of various provisions </w:t>
      </w:r>
      <w:r w:rsidR="008F3DC6">
        <w:t>5</w:t>
      </w:r>
      <w:r w:rsidRPr="00802A9E">
        <w:t>8</w:t>
      </w:r>
    </w:p>
    <w:p w14:paraId="772E4F72" w14:textId="084A64A5" w:rsidR="00621A9C" w:rsidRPr="00802A9E" w:rsidRDefault="00621A9C" w:rsidP="009F018E">
      <w:pPr>
        <w:pStyle w:val="ListParagraph"/>
        <w:numPr>
          <w:ilvl w:val="0"/>
          <w:numId w:val="1"/>
        </w:numPr>
      </w:pPr>
      <w:r w:rsidRPr="00802A9E">
        <w:t xml:space="preserve">Table 5: Regulatory schemes for contained work on GMOs (New South Wales) </w:t>
      </w:r>
      <w:r w:rsidR="00784258">
        <w:t>6</w:t>
      </w:r>
      <w:r w:rsidRPr="00802A9E">
        <w:t>4</w:t>
      </w:r>
    </w:p>
    <w:p w14:paraId="46AAAE8B" w14:textId="2299D61C" w:rsidR="00621A9C" w:rsidRPr="00802A9E" w:rsidRDefault="00621A9C" w:rsidP="009F018E">
      <w:pPr>
        <w:pStyle w:val="ListParagraph"/>
        <w:numPr>
          <w:ilvl w:val="0"/>
          <w:numId w:val="1"/>
        </w:numPr>
      </w:pPr>
      <w:r w:rsidRPr="00802A9E">
        <w:t xml:space="preserve">Table 6: GM crops being developed in Australia </w:t>
      </w:r>
      <w:r w:rsidR="00E67AE9">
        <w:t>6</w:t>
      </w:r>
      <w:r w:rsidRPr="00802A9E">
        <w:t>6</w:t>
      </w:r>
    </w:p>
    <w:p w14:paraId="1CF6D427" w14:textId="5DA5BF97" w:rsidR="00621A9C" w:rsidRPr="00802A9E" w:rsidRDefault="00621A9C" w:rsidP="009F018E">
      <w:pPr>
        <w:pStyle w:val="ListParagraph"/>
        <w:numPr>
          <w:ilvl w:val="0"/>
          <w:numId w:val="1"/>
        </w:numPr>
      </w:pPr>
      <w:r w:rsidRPr="00802A9E">
        <w:t xml:space="preserve">Table 7: GM feed crop traits in the pipeline worldwide </w:t>
      </w:r>
      <w:r w:rsidR="00E67AE9">
        <w:t>6</w:t>
      </w:r>
      <w:r w:rsidRPr="00802A9E">
        <w:t>8</w:t>
      </w:r>
    </w:p>
    <w:p w14:paraId="4435A4D9" w14:textId="24D375BC" w:rsidR="00621A9C" w:rsidRPr="00802A9E" w:rsidRDefault="00621A9C" w:rsidP="009F018E">
      <w:pPr>
        <w:pStyle w:val="ListParagraph"/>
        <w:numPr>
          <w:ilvl w:val="0"/>
          <w:numId w:val="1"/>
        </w:numPr>
      </w:pPr>
      <w:r w:rsidRPr="00802A9E">
        <w:t xml:space="preserve">Table 8: Some examples of GM oilseed crops with modified oil content </w:t>
      </w:r>
      <w:r w:rsidR="00E67AE9">
        <w:t>6</w:t>
      </w:r>
      <w:r w:rsidRPr="00802A9E">
        <w:t>9</w:t>
      </w:r>
    </w:p>
    <w:p w14:paraId="5901FA03" w14:textId="769DC18D" w:rsidR="00621A9C" w:rsidRPr="00802A9E" w:rsidRDefault="00621A9C" w:rsidP="009F018E">
      <w:pPr>
        <w:pStyle w:val="ListParagraph"/>
        <w:numPr>
          <w:ilvl w:val="0"/>
          <w:numId w:val="1"/>
        </w:numPr>
      </w:pPr>
      <w:r w:rsidRPr="00802A9E">
        <w:t xml:space="preserve">Table 9: Gene technology moratoria legislation </w:t>
      </w:r>
      <w:r w:rsidR="00E67AE9">
        <w:t>7</w:t>
      </w:r>
      <w:r w:rsidR="00D661AA">
        <w:t>3</w:t>
      </w:r>
    </w:p>
    <w:p w14:paraId="3BE1357C" w14:textId="0205C9B7" w:rsidR="00621A9C" w:rsidRPr="00802A9E" w:rsidRDefault="00621A9C" w:rsidP="009F018E">
      <w:pPr>
        <w:pStyle w:val="ListParagraph"/>
        <w:numPr>
          <w:ilvl w:val="0"/>
          <w:numId w:val="1"/>
        </w:numPr>
      </w:pPr>
      <w:r w:rsidRPr="00802A9E">
        <w:t xml:space="preserve">Table 10: Classes of GMO dealings under the Gene Technology Act 2000 </w:t>
      </w:r>
      <w:r w:rsidR="00E8364F">
        <w:t>95</w:t>
      </w:r>
    </w:p>
    <w:p w14:paraId="49CD9B35" w14:textId="05BA9AC0" w:rsidR="00621A9C" w:rsidRPr="00802A9E" w:rsidRDefault="00621A9C" w:rsidP="009F018E">
      <w:pPr>
        <w:pStyle w:val="ListParagraph"/>
        <w:numPr>
          <w:ilvl w:val="0"/>
          <w:numId w:val="1"/>
        </w:numPr>
      </w:pPr>
      <w:r w:rsidRPr="00802A9E">
        <w:t xml:space="preserve">Table 11: Time frames under the Act </w:t>
      </w:r>
      <w:r w:rsidR="00E8364F">
        <w:t>96</w:t>
      </w:r>
    </w:p>
    <w:p w14:paraId="6FC80CD4" w14:textId="4635C48B" w:rsidR="00621A9C" w:rsidRPr="00802A9E" w:rsidRDefault="00621A9C" w:rsidP="00E8364F">
      <w:pPr>
        <w:pStyle w:val="Heading1"/>
      </w:pPr>
      <w:bookmarkStart w:id="1" w:name="_Toc95326235"/>
      <w:r w:rsidRPr="00802A9E">
        <w:t xml:space="preserve">List of </w:t>
      </w:r>
      <w:r w:rsidR="00E8364F">
        <w:t>f</w:t>
      </w:r>
      <w:r w:rsidRPr="00802A9E">
        <w:t>igures</w:t>
      </w:r>
      <w:bookmarkEnd w:id="1"/>
    </w:p>
    <w:p w14:paraId="68A11347" w14:textId="04607B9E" w:rsidR="00621A9C" w:rsidRPr="00802A9E" w:rsidRDefault="00621A9C" w:rsidP="009F018E">
      <w:pPr>
        <w:pStyle w:val="ListParagraph"/>
        <w:numPr>
          <w:ilvl w:val="0"/>
          <w:numId w:val="1"/>
        </w:numPr>
      </w:pPr>
      <w:r w:rsidRPr="00802A9E">
        <w:t xml:space="preserve">Figure 1: Increasing risk and regulatory scrutiny </w:t>
      </w:r>
      <w:r w:rsidR="00D05FE3">
        <w:t>49</w:t>
      </w:r>
    </w:p>
    <w:p w14:paraId="066D8B26" w14:textId="3FD8B8AD" w:rsidR="00621A9C" w:rsidRPr="00802A9E" w:rsidRDefault="00621A9C" w:rsidP="009F018E">
      <w:pPr>
        <w:pStyle w:val="ListParagraph"/>
        <w:numPr>
          <w:ilvl w:val="0"/>
          <w:numId w:val="1"/>
        </w:numPr>
      </w:pPr>
      <w:r w:rsidRPr="00802A9E">
        <w:t>Figure 2: The application approval process 1</w:t>
      </w:r>
      <w:r w:rsidR="00D05FE3">
        <w:t>02</w:t>
      </w:r>
    </w:p>
    <w:p w14:paraId="337FEA0D" w14:textId="3BE87F2E" w:rsidR="0027223F" w:rsidRPr="00802A9E" w:rsidRDefault="00621A9C" w:rsidP="009F018E">
      <w:pPr>
        <w:pStyle w:val="ListParagraph"/>
        <w:numPr>
          <w:ilvl w:val="0"/>
          <w:numId w:val="1"/>
        </w:numPr>
      </w:pPr>
      <w:r w:rsidRPr="00802A9E">
        <w:t>Figure 3: Structure of the Office of the Gene Technology Regulator 1</w:t>
      </w:r>
      <w:r w:rsidR="00D05FE3">
        <w:t>05</w:t>
      </w:r>
    </w:p>
    <w:p w14:paraId="4D42C5DF" w14:textId="77777777" w:rsidR="0027223F" w:rsidRPr="00694EF4" w:rsidRDefault="0027223F">
      <w:pPr>
        <w:rPr>
          <w:rFonts w:asciiTheme="minorHAnsi" w:hAnsiTheme="minorHAnsi" w:cstheme="minorHAnsi"/>
        </w:rPr>
      </w:pPr>
      <w:r w:rsidRPr="00694EF4">
        <w:rPr>
          <w:rFonts w:asciiTheme="minorHAnsi" w:hAnsiTheme="minorHAnsi" w:cstheme="minorHAnsi"/>
        </w:rPr>
        <w:br w:type="page"/>
      </w:r>
    </w:p>
    <w:p w14:paraId="15ADCAFD" w14:textId="77777777" w:rsidR="0027223F" w:rsidRPr="00694EF4" w:rsidRDefault="0027223F" w:rsidP="006221B5">
      <w:pPr>
        <w:pStyle w:val="Heading1"/>
      </w:pPr>
      <w:bookmarkStart w:id="2" w:name="_Toc95326236"/>
      <w:r w:rsidRPr="00694EF4">
        <w:lastRenderedPageBreak/>
        <w:t>List of acronyms and abbreviations</w:t>
      </w:r>
      <w:bookmarkEnd w:id="2"/>
    </w:p>
    <w:p w14:paraId="4751109F" w14:textId="001C3E25" w:rsidR="0027223F" w:rsidRPr="00802A9E" w:rsidRDefault="0027223F" w:rsidP="00802A9E">
      <w:pPr>
        <w:tabs>
          <w:tab w:val="left" w:pos="2268"/>
        </w:tabs>
      </w:pPr>
      <w:r w:rsidRPr="00802A9E">
        <w:t>AAT</w:t>
      </w:r>
      <w:r w:rsidR="00802A9E">
        <w:tab/>
      </w:r>
      <w:r w:rsidRPr="00802A9E">
        <w:t>Administrative Appeals Tribunal</w:t>
      </w:r>
    </w:p>
    <w:p w14:paraId="0BF76CE5" w14:textId="641D57B9" w:rsidR="0027223F" w:rsidRPr="00802A9E" w:rsidRDefault="0027223F" w:rsidP="00802A9E">
      <w:pPr>
        <w:tabs>
          <w:tab w:val="left" w:pos="2268"/>
        </w:tabs>
      </w:pPr>
      <w:r w:rsidRPr="00802A9E">
        <w:t>The Act</w:t>
      </w:r>
      <w:r w:rsidR="00802A9E">
        <w:tab/>
      </w:r>
      <w:proofErr w:type="gramStart"/>
      <w:r w:rsidRPr="00802A9E">
        <w:t>The</w:t>
      </w:r>
      <w:proofErr w:type="gramEnd"/>
      <w:r w:rsidRPr="00802A9E">
        <w:t xml:space="preserve"> Gene Technology Act 2000</w:t>
      </w:r>
    </w:p>
    <w:p w14:paraId="2E194B75" w14:textId="30EFD9D6" w:rsidR="0027223F" w:rsidRPr="00802A9E" w:rsidRDefault="0027223F" w:rsidP="00802A9E">
      <w:pPr>
        <w:tabs>
          <w:tab w:val="left" w:pos="2268"/>
        </w:tabs>
      </w:pPr>
      <w:r w:rsidRPr="00802A9E">
        <w:t>ACVM Act</w:t>
      </w:r>
      <w:r w:rsidR="00802A9E">
        <w:tab/>
      </w:r>
      <w:proofErr w:type="gramStart"/>
      <w:r w:rsidRPr="00802A9E">
        <w:t>The</w:t>
      </w:r>
      <w:proofErr w:type="gramEnd"/>
      <w:r w:rsidRPr="00802A9E">
        <w:t xml:space="preserve"> Agricultural Compounds and Veterinary Medicines Act 1997</w:t>
      </w:r>
    </w:p>
    <w:p w14:paraId="1B709F2C" w14:textId="09D77D15" w:rsidR="0027223F" w:rsidRPr="00802A9E" w:rsidRDefault="0027223F" w:rsidP="00802A9E">
      <w:pPr>
        <w:tabs>
          <w:tab w:val="left" w:pos="2268"/>
        </w:tabs>
      </w:pPr>
      <w:r w:rsidRPr="00802A9E">
        <w:t>AD(JR) Act</w:t>
      </w:r>
      <w:r w:rsidR="00802A9E">
        <w:tab/>
      </w:r>
      <w:r w:rsidRPr="00802A9E">
        <w:t>Administrative Decisions (Judicial Review) Act 1977</w:t>
      </w:r>
    </w:p>
    <w:p w14:paraId="4A972264" w14:textId="6065C1C1" w:rsidR="0027223F" w:rsidRPr="00802A9E" w:rsidRDefault="0027223F" w:rsidP="00802A9E">
      <w:pPr>
        <w:tabs>
          <w:tab w:val="left" w:pos="2268"/>
        </w:tabs>
      </w:pPr>
      <w:r w:rsidRPr="00802A9E">
        <w:t>AHEC</w:t>
      </w:r>
      <w:r w:rsidR="00802A9E">
        <w:tab/>
      </w:r>
      <w:r w:rsidRPr="00802A9E">
        <w:t>Australian Health Ethics Committee</w:t>
      </w:r>
    </w:p>
    <w:p w14:paraId="230F3424" w14:textId="64F8FF43" w:rsidR="0027223F" w:rsidRPr="00802A9E" w:rsidRDefault="0027223F" w:rsidP="00802A9E">
      <w:pPr>
        <w:tabs>
          <w:tab w:val="left" w:pos="2268"/>
        </w:tabs>
      </w:pPr>
      <w:r w:rsidRPr="00802A9E">
        <w:t>ANAO</w:t>
      </w:r>
      <w:r w:rsidR="00802A9E">
        <w:tab/>
      </w:r>
      <w:r w:rsidRPr="00802A9E">
        <w:t>Australian National Audit Office</w:t>
      </w:r>
    </w:p>
    <w:p w14:paraId="19500C71" w14:textId="7988E45B" w:rsidR="0027223F" w:rsidRPr="00802A9E" w:rsidRDefault="0027223F" w:rsidP="00802A9E">
      <w:pPr>
        <w:tabs>
          <w:tab w:val="left" w:pos="2268"/>
        </w:tabs>
      </w:pPr>
      <w:r w:rsidRPr="00802A9E">
        <w:t>APVMA</w:t>
      </w:r>
      <w:r w:rsidR="00802A9E">
        <w:tab/>
      </w:r>
      <w:r w:rsidRPr="00802A9E">
        <w:t>Australian Pesticides and Veterinary Medicines Authority</w:t>
      </w:r>
    </w:p>
    <w:p w14:paraId="2EFA09D8" w14:textId="7E4CB389" w:rsidR="0027223F" w:rsidRPr="00802A9E" w:rsidRDefault="0027223F" w:rsidP="00802A9E">
      <w:pPr>
        <w:tabs>
          <w:tab w:val="left" w:pos="2268"/>
        </w:tabs>
      </w:pPr>
      <w:r w:rsidRPr="00802A9E">
        <w:t>AQIS</w:t>
      </w:r>
      <w:r w:rsidR="00802A9E">
        <w:tab/>
      </w:r>
      <w:r w:rsidRPr="00802A9E">
        <w:t>Australian Quarantine and Inspection Service</w:t>
      </w:r>
    </w:p>
    <w:p w14:paraId="49585F30" w14:textId="1EE79C2A" w:rsidR="0027223F" w:rsidRPr="00802A9E" w:rsidRDefault="0027223F" w:rsidP="00802A9E">
      <w:pPr>
        <w:tabs>
          <w:tab w:val="left" w:pos="2268"/>
        </w:tabs>
      </w:pPr>
      <w:r w:rsidRPr="00802A9E">
        <w:t>CCI</w:t>
      </w:r>
      <w:r w:rsidR="00802A9E">
        <w:tab/>
      </w:r>
      <w:r w:rsidRPr="00802A9E">
        <w:t>Confidential Commercial Information</w:t>
      </w:r>
    </w:p>
    <w:p w14:paraId="5E48855C" w14:textId="6BA2DF1E" w:rsidR="0027223F" w:rsidRPr="00802A9E" w:rsidRDefault="0027223F" w:rsidP="00802A9E">
      <w:pPr>
        <w:tabs>
          <w:tab w:val="left" w:pos="2268"/>
        </w:tabs>
      </w:pPr>
      <w:r w:rsidRPr="00802A9E">
        <w:t>COAG</w:t>
      </w:r>
      <w:r w:rsidR="00802A9E">
        <w:tab/>
      </w:r>
      <w:r w:rsidRPr="00802A9E">
        <w:t>Council of Australian Governments</w:t>
      </w:r>
    </w:p>
    <w:p w14:paraId="1F30FADB" w14:textId="2A1504DA" w:rsidR="0027223F" w:rsidRPr="00802A9E" w:rsidRDefault="0027223F" w:rsidP="00802A9E">
      <w:pPr>
        <w:tabs>
          <w:tab w:val="left" w:pos="2268"/>
        </w:tabs>
      </w:pPr>
      <w:r w:rsidRPr="00802A9E">
        <w:t>CSCG</w:t>
      </w:r>
      <w:r w:rsidR="00802A9E">
        <w:tab/>
      </w:r>
      <w:r w:rsidRPr="00802A9E">
        <w:t>Commonwealth State Consultative Group on Gene Technology</w:t>
      </w:r>
    </w:p>
    <w:p w14:paraId="351474A2" w14:textId="43E6E12E" w:rsidR="0027223F" w:rsidRPr="00802A9E" w:rsidRDefault="0027223F" w:rsidP="00802A9E">
      <w:pPr>
        <w:tabs>
          <w:tab w:val="left" w:pos="2268"/>
        </w:tabs>
      </w:pPr>
      <w:r w:rsidRPr="00802A9E">
        <w:t>DIR</w:t>
      </w:r>
      <w:r w:rsidR="00802A9E">
        <w:tab/>
      </w:r>
      <w:r w:rsidRPr="00802A9E">
        <w:t>Dealing involving intentional release</w:t>
      </w:r>
    </w:p>
    <w:p w14:paraId="6CCB32DB" w14:textId="00929CAB" w:rsidR="0027223F" w:rsidRPr="00802A9E" w:rsidRDefault="0027223F" w:rsidP="00802A9E">
      <w:pPr>
        <w:tabs>
          <w:tab w:val="left" w:pos="2268"/>
        </w:tabs>
      </w:pPr>
      <w:r w:rsidRPr="00802A9E">
        <w:t>DNA</w:t>
      </w:r>
      <w:r w:rsidR="00802A9E">
        <w:tab/>
      </w:r>
      <w:r w:rsidRPr="00802A9E">
        <w:t>Deoxyribonucleic acid</w:t>
      </w:r>
    </w:p>
    <w:p w14:paraId="4A6AEAC0" w14:textId="3DF4F362" w:rsidR="0027223F" w:rsidRPr="00802A9E" w:rsidRDefault="0027223F" w:rsidP="00802A9E">
      <w:pPr>
        <w:tabs>
          <w:tab w:val="left" w:pos="2268"/>
        </w:tabs>
      </w:pPr>
      <w:r w:rsidRPr="00802A9E">
        <w:t>DNIR</w:t>
      </w:r>
      <w:r w:rsidR="00802A9E">
        <w:tab/>
      </w:r>
      <w:r w:rsidRPr="00802A9E">
        <w:t>Dealing not involving intentional release</w:t>
      </w:r>
    </w:p>
    <w:p w14:paraId="02BCB6DF" w14:textId="53CE0504" w:rsidR="0027223F" w:rsidRPr="00802A9E" w:rsidRDefault="0027223F" w:rsidP="00802A9E">
      <w:pPr>
        <w:tabs>
          <w:tab w:val="left" w:pos="2268"/>
        </w:tabs>
      </w:pPr>
      <w:r w:rsidRPr="00802A9E">
        <w:t>DPP</w:t>
      </w:r>
      <w:r w:rsidR="00802A9E">
        <w:tab/>
      </w:r>
      <w:r w:rsidRPr="00802A9E">
        <w:t>Director of Public Prosecutions</w:t>
      </w:r>
    </w:p>
    <w:p w14:paraId="1CC04ACD" w14:textId="125FA1D0" w:rsidR="0027223F" w:rsidRPr="00802A9E" w:rsidRDefault="0027223F" w:rsidP="00802A9E">
      <w:pPr>
        <w:tabs>
          <w:tab w:val="left" w:pos="2268"/>
        </w:tabs>
      </w:pPr>
      <w:r w:rsidRPr="00802A9E">
        <w:t>EPBC Act</w:t>
      </w:r>
      <w:r w:rsidR="00802A9E">
        <w:tab/>
      </w:r>
      <w:r w:rsidRPr="00802A9E">
        <w:t>Environment Protection and Biodiversity Conservation Act 1999</w:t>
      </w:r>
    </w:p>
    <w:p w14:paraId="18026063" w14:textId="25D95CFA" w:rsidR="0027223F" w:rsidRPr="00802A9E" w:rsidRDefault="0027223F" w:rsidP="00802A9E">
      <w:pPr>
        <w:tabs>
          <w:tab w:val="left" w:pos="2268"/>
        </w:tabs>
      </w:pPr>
      <w:r w:rsidRPr="00802A9E">
        <w:t>FSANZ</w:t>
      </w:r>
      <w:r w:rsidR="00802A9E">
        <w:tab/>
      </w:r>
      <w:r w:rsidRPr="00802A9E">
        <w:t>Food Standards Australia New Zealand</w:t>
      </w:r>
    </w:p>
    <w:p w14:paraId="2E386C24" w14:textId="43E62A7D" w:rsidR="0027223F" w:rsidRPr="00802A9E" w:rsidRDefault="0027223F" w:rsidP="00802A9E">
      <w:pPr>
        <w:tabs>
          <w:tab w:val="left" w:pos="2268"/>
        </w:tabs>
      </w:pPr>
      <w:r w:rsidRPr="00802A9E">
        <w:t>GM</w:t>
      </w:r>
      <w:r w:rsidR="00802A9E">
        <w:tab/>
      </w:r>
      <w:r w:rsidRPr="00802A9E">
        <w:t>Genetically modified</w:t>
      </w:r>
    </w:p>
    <w:p w14:paraId="45996111" w14:textId="3694D8E0" w:rsidR="0027223F" w:rsidRPr="00802A9E" w:rsidRDefault="0027223F" w:rsidP="00802A9E">
      <w:pPr>
        <w:tabs>
          <w:tab w:val="left" w:pos="2268"/>
        </w:tabs>
      </w:pPr>
      <w:r w:rsidRPr="00802A9E">
        <w:t>GMAC</w:t>
      </w:r>
      <w:r w:rsidR="00802A9E">
        <w:tab/>
      </w:r>
      <w:r w:rsidRPr="00802A9E">
        <w:t>Genetic Manipulation Advisory Committee</w:t>
      </w:r>
    </w:p>
    <w:p w14:paraId="282DA7AA" w14:textId="41A8AF01" w:rsidR="0027223F" w:rsidRPr="00802A9E" w:rsidRDefault="0027223F" w:rsidP="00802A9E">
      <w:pPr>
        <w:tabs>
          <w:tab w:val="left" w:pos="2268"/>
        </w:tabs>
      </w:pPr>
      <w:r w:rsidRPr="00802A9E">
        <w:t>GMO(s)</w:t>
      </w:r>
      <w:r w:rsidR="00802A9E">
        <w:tab/>
      </w:r>
      <w:r w:rsidRPr="00802A9E">
        <w:t>Genetically Modified Organism(s)</w:t>
      </w:r>
    </w:p>
    <w:p w14:paraId="7A85DA1A" w14:textId="36950F26" w:rsidR="0027223F" w:rsidRPr="00802A9E" w:rsidRDefault="0027223F" w:rsidP="00802A9E">
      <w:pPr>
        <w:tabs>
          <w:tab w:val="left" w:pos="2268"/>
        </w:tabs>
      </w:pPr>
      <w:r w:rsidRPr="00802A9E">
        <w:t>GTCCC</w:t>
      </w:r>
      <w:r w:rsidR="00D65A2E">
        <w:tab/>
      </w:r>
      <w:r w:rsidRPr="00802A9E">
        <w:t>Gene Technology Community Consultative Committee</w:t>
      </w:r>
    </w:p>
    <w:p w14:paraId="7C0D243B" w14:textId="48B6FC17" w:rsidR="0027223F" w:rsidRPr="00802A9E" w:rsidRDefault="0027223F" w:rsidP="00802A9E">
      <w:pPr>
        <w:tabs>
          <w:tab w:val="left" w:pos="2268"/>
        </w:tabs>
      </w:pPr>
      <w:r w:rsidRPr="00802A9E">
        <w:t>GTEC</w:t>
      </w:r>
      <w:r w:rsidR="00D65A2E">
        <w:tab/>
      </w:r>
      <w:r w:rsidRPr="00802A9E">
        <w:t>Gene Technology Ethics Committee</w:t>
      </w:r>
    </w:p>
    <w:p w14:paraId="1F33F754" w14:textId="0D36BC67" w:rsidR="0027223F" w:rsidRPr="00802A9E" w:rsidRDefault="0027223F" w:rsidP="00802A9E">
      <w:pPr>
        <w:tabs>
          <w:tab w:val="left" w:pos="2268"/>
        </w:tabs>
      </w:pPr>
      <w:r w:rsidRPr="00802A9E">
        <w:t>GTIMS</w:t>
      </w:r>
      <w:r w:rsidR="00D65A2E">
        <w:tab/>
      </w:r>
      <w:r w:rsidRPr="00802A9E">
        <w:t>Gene Technology Information Management System</w:t>
      </w:r>
    </w:p>
    <w:p w14:paraId="27A409CA" w14:textId="2E9DB457" w:rsidR="0027223F" w:rsidRPr="00802A9E" w:rsidRDefault="0027223F" w:rsidP="00802A9E">
      <w:pPr>
        <w:tabs>
          <w:tab w:val="left" w:pos="2268"/>
        </w:tabs>
      </w:pPr>
      <w:r w:rsidRPr="00802A9E">
        <w:t>GTMC</w:t>
      </w:r>
      <w:r w:rsidR="00D65A2E">
        <w:tab/>
      </w:r>
      <w:r w:rsidRPr="00802A9E">
        <w:t>Gene Technology Ministerial Council</w:t>
      </w:r>
    </w:p>
    <w:p w14:paraId="5B184DAB" w14:textId="1A7E452C" w:rsidR="0027223F" w:rsidRPr="00802A9E" w:rsidRDefault="0027223F" w:rsidP="00802A9E">
      <w:pPr>
        <w:tabs>
          <w:tab w:val="left" w:pos="2268"/>
        </w:tabs>
      </w:pPr>
      <w:r w:rsidRPr="00802A9E">
        <w:t>GTRAP</w:t>
      </w:r>
      <w:r w:rsidR="00D65A2E">
        <w:tab/>
      </w:r>
      <w:r w:rsidRPr="00802A9E">
        <w:t>Gene and Related Therapies Advisory Panel</w:t>
      </w:r>
    </w:p>
    <w:p w14:paraId="4E68774E" w14:textId="51C4D09B" w:rsidR="0027223F" w:rsidRPr="00802A9E" w:rsidRDefault="0027223F" w:rsidP="00802A9E">
      <w:pPr>
        <w:tabs>
          <w:tab w:val="left" w:pos="2268"/>
        </w:tabs>
      </w:pPr>
      <w:r w:rsidRPr="00802A9E">
        <w:t>GTTAC</w:t>
      </w:r>
      <w:r w:rsidR="00D65A2E">
        <w:tab/>
      </w:r>
      <w:r w:rsidRPr="00802A9E">
        <w:t>Gene Technology Technical Advisory Committee</w:t>
      </w:r>
    </w:p>
    <w:p w14:paraId="18B5D18A" w14:textId="0206A573" w:rsidR="0027223F" w:rsidRPr="00802A9E" w:rsidRDefault="0027223F" w:rsidP="00802A9E">
      <w:pPr>
        <w:tabs>
          <w:tab w:val="left" w:pos="2268"/>
        </w:tabs>
      </w:pPr>
      <w:r w:rsidRPr="00802A9E">
        <w:t>IBC</w:t>
      </w:r>
      <w:r w:rsidR="00D65A2E">
        <w:tab/>
      </w:r>
      <w:r w:rsidRPr="00802A9E">
        <w:t>Institutional Biosafety Committee</w:t>
      </w:r>
    </w:p>
    <w:p w14:paraId="12346BAF" w14:textId="7E1D4A71" w:rsidR="0027223F" w:rsidRPr="00802A9E" w:rsidRDefault="0027223F" w:rsidP="00802A9E">
      <w:pPr>
        <w:tabs>
          <w:tab w:val="left" w:pos="2268"/>
        </w:tabs>
      </w:pPr>
      <w:r w:rsidRPr="00802A9E">
        <w:t>ICA</w:t>
      </w:r>
      <w:r w:rsidR="00D65A2E">
        <w:tab/>
      </w:r>
      <w:r w:rsidRPr="00802A9E">
        <w:t>Insurance Council of Australia</w:t>
      </w:r>
    </w:p>
    <w:p w14:paraId="0013D62B" w14:textId="41E912BC" w:rsidR="00621A9C" w:rsidRPr="00802A9E" w:rsidRDefault="0027223F" w:rsidP="00802A9E">
      <w:pPr>
        <w:tabs>
          <w:tab w:val="left" w:pos="2268"/>
        </w:tabs>
      </w:pPr>
      <w:r w:rsidRPr="00802A9E">
        <w:t>IGA</w:t>
      </w:r>
      <w:r w:rsidR="00D65A2E">
        <w:tab/>
      </w:r>
      <w:r w:rsidRPr="00802A9E">
        <w:t>Inter-governmental Agreement on Gene Technology</w:t>
      </w:r>
    </w:p>
    <w:p w14:paraId="140BEEF0" w14:textId="51D86CDC" w:rsidR="0027223F" w:rsidRPr="00802A9E" w:rsidRDefault="0027223F" w:rsidP="00802A9E">
      <w:pPr>
        <w:tabs>
          <w:tab w:val="left" w:pos="2268"/>
        </w:tabs>
      </w:pPr>
      <w:r w:rsidRPr="00802A9E">
        <w:t>IGAE</w:t>
      </w:r>
      <w:r w:rsidR="00D65A2E">
        <w:tab/>
      </w:r>
      <w:r w:rsidRPr="00802A9E">
        <w:t>Australian Inter-governmental Agreement on the Environment</w:t>
      </w:r>
    </w:p>
    <w:p w14:paraId="28DA3353" w14:textId="6527B2E6" w:rsidR="0027223F" w:rsidRPr="00802A9E" w:rsidRDefault="0027223F" w:rsidP="00802A9E">
      <w:pPr>
        <w:tabs>
          <w:tab w:val="left" w:pos="2268"/>
        </w:tabs>
      </w:pPr>
      <w:r w:rsidRPr="00802A9E">
        <w:t>NHMRC</w:t>
      </w:r>
      <w:r w:rsidR="00D65A2E">
        <w:tab/>
      </w:r>
      <w:r w:rsidRPr="00802A9E">
        <w:t>National Health and Medical Research Council</w:t>
      </w:r>
    </w:p>
    <w:p w14:paraId="55EFB8E2" w14:textId="0E597027" w:rsidR="0027223F" w:rsidRPr="00802A9E" w:rsidRDefault="0027223F" w:rsidP="00802A9E">
      <w:pPr>
        <w:tabs>
          <w:tab w:val="left" w:pos="2268"/>
        </w:tabs>
      </w:pPr>
      <w:r w:rsidRPr="00802A9E">
        <w:t>NGOs</w:t>
      </w:r>
      <w:r w:rsidR="00D65A2E">
        <w:tab/>
      </w:r>
      <w:r w:rsidRPr="00802A9E">
        <w:t>Non-government organisations</w:t>
      </w:r>
    </w:p>
    <w:p w14:paraId="68949389" w14:textId="3C1A5547" w:rsidR="0027223F" w:rsidRPr="00802A9E" w:rsidRDefault="0027223F" w:rsidP="00802A9E">
      <w:pPr>
        <w:tabs>
          <w:tab w:val="left" w:pos="2268"/>
        </w:tabs>
      </w:pPr>
      <w:r w:rsidRPr="00802A9E">
        <w:t>NICNAS</w:t>
      </w:r>
      <w:r w:rsidR="00D65A2E">
        <w:tab/>
      </w:r>
      <w:r w:rsidRPr="00802A9E">
        <w:t>National Industrial Chemicals Notification and Assessment Scheme</w:t>
      </w:r>
    </w:p>
    <w:p w14:paraId="26ECDC04" w14:textId="7B55E245" w:rsidR="0027223F" w:rsidRPr="00802A9E" w:rsidRDefault="0027223F" w:rsidP="00802A9E">
      <w:pPr>
        <w:tabs>
          <w:tab w:val="left" w:pos="2268"/>
        </w:tabs>
      </w:pPr>
      <w:r w:rsidRPr="00802A9E">
        <w:lastRenderedPageBreak/>
        <w:t>NLRD</w:t>
      </w:r>
      <w:r w:rsidR="00D65A2E">
        <w:tab/>
      </w:r>
      <w:r w:rsidRPr="00802A9E">
        <w:t>Notifiable Low Risk Dealing</w:t>
      </w:r>
    </w:p>
    <w:p w14:paraId="67C158D9" w14:textId="465C8EE2" w:rsidR="0027223F" w:rsidRPr="00802A9E" w:rsidRDefault="0027223F" w:rsidP="00802A9E">
      <w:pPr>
        <w:tabs>
          <w:tab w:val="left" w:pos="2268"/>
        </w:tabs>
      </w:pPr>
      <w:r w:rsidRPr="00802A9E">
        <w:t>OCS</w:t>
      </w:r>
      <w:r w:rsidR="00D65A2E">
        <w:tab/>
      </w:r>
      <w:r w:rsidRPr="00802A9E">
        <w:t>Office of Chemical Safety</w:t>
      </w:r>
    </w:p>
    <w:p w14:paraId="7F7A5D09" w14:textId="77777777" w:rsidR="0027223F" w:rsidRPr="00802A9E" w:rsidRDefault="0027223F" w:rsidP="00802A9E">
      <w:pPr>
        <w:tabs>
          <w:tab w:val="left" w:pos="2268"/>
        </w:tabs>
      </w:pPr>
      <w:r w:rsidRPr="00802A9E">
        <w:t>Other regulatory Commonwealth agencies involved in regulating products agencies (FSANZ, AQIS, NICNAS, APVMA, TGA)</w:t>
      </w:r>
    </w:p>
    <w:p w14:paraId="14502B2B" w14:textId="7186F4B1" w:rsidR="0027223F" w:rsidRPr="00802A9E" w:rsidRDefault="0027223F" w:rsidP="00802A9E">
      <w:pPr>
        <w:tabs>
          <w:tab w:val="left" w:pos="2268"/>
        </w:tabs>
      </w:pPr>
      <w:r w:rsidRPr="00802A9E">
        <w:t>OGTR</w:t>
      </w:r>
      <w:r w:rsidR="00D65A2E">
        <w:tab/>
      </w:r>
      <w:r w:rsidRPr="00802A9E">
        <w:t>Office of the Gene Technology Regulator</w:t>
      </w:r>
    </w:p>
    <w:p w14:paraId="6294BEB3" w14:textId="262357ED" w:rsidR="0027223F" w:rsidRPr="00802A9E" w:rsidRDefault="0027223F" w:rsidP="00802A9E">
      <w:pPr>
        <w:tabs>
          <w:tab w:val="left" w:pos="2268"/>
        </w:tabs>
      </w:pPr>
      <w:r w:rsidRPr="00802A9E">
        <w:t>OECD</w:t>
      </w:r>
      <w:r w:rsidR="00D65A2E">
        <w:tab/>
      </w:r>
      <w:r w:rsidRPr="00802A9E">
        <w:t>Organisation for Economic Co-operation and Development</w:t>
      </w:r>
    </w:p>
    <w:p w14:paraId="7F64CE10" w14:textId="1A3A8FFE" w:rsidR="0027223F" w:rsidRPr="00802A9E" w:rsidRDefault="0027223F" w:rsidP="00802A9E">
      <w:pPr>
        <w:tabs>
          <w:tab w:val="left" w:pos="2268"/>
        </w:tabs>
      </w:pPr>
      <w:r w:rsidRPr="00802A9E">
        <w:t>PC1–4</w:t>
      </w:r>
      <w:r w:rsidR="00D65A2E">
        <w:tab/>
      </w:r>
      <w:r w:rsidRPr="00802A9E">
        <w:t>Physical containment Levels 1–4 (PC4 provides the greatest degree of containment)</w:t>
      </w:r>
    </w:p>
    <w:p w14:paraId="59423160" w14:textId="6D3947EF" w:rsidR="0027223F" w:rsidRPr="00802A9E" w:rsidRDefault="0027223F" w:rsidP="00D65A2E">
      <w:pPr>
        <w:tabs>
          <w:tab w:val="left" w:pos="2268"/>
        </w:tabs>
        <w:ind w:left="2268" w:hanging="2268"/>
      </w:pPr>
      <w:r w:rsidRPr="00802A9E">
        <w:t>Prescribed agencies</w:t>
      </w:r>
      <w:r w:rsidR="00802A9E">
        <w:tab/>
      </w:r>
      <w:proofErr w:type="spellStart"/>
      <w:r w:rsidRPr="00802A9E">
        <w:t>Agencies</w:t>
      </w:r>
      <w:proofErr w:type="spellEnd"/>
      <w:r w:rsidRPr="00802A9E">
        <w:t xml:space="preserve"> that must be consulted by the Regulator when developing a RARMP (FSANZ, AQIS, NHMRC, NICNAS, APVMA, TGA)</w:t>
      </w:r>
    </w:p>
    <w:p w14:paraId="5B6D0990" w14:textId="2505E63D" w:rsidR="0027223F" w:rsidRPr="00802A9E" w:rsidRDefault="0027223F" w:rsidP="00802A9E">
      <w:pPr>
        <w:tabs>
          <w:tab w:val="left" w:pos="2268"/>
        </w:tabs>
      </w:pPr>
      <w:r w:rsidRPr="00802A9E">
        <w:t>RAF</w:t>
      </w:r>
      <w:r w:rsidR="00802A9E">
        <w:tab/>
      </w:r>
      <w:r w:rsidRPr="00802A9E">
        <w:t>Risk Assessment Framework</w:t>
      </w:r>
    </w:p>
    <w:p w14:paraId="0114C36A" w14:textId="793E77C6" w:rsidR="0027223F" w:rsidRPr="00802A9E" w:rsidRDefault="0027223F" w:rsidP="00802A9E">
      <w:pPr>
        <w:tabs>
          <w:tab w:val="left" w:pos="2268"/>
        </w:tabs>
      </w:pPr>
      <w:r w:rsidRPr="00802A9E">
        <w:t>RARMP</w:t>
      </w:r>
      <w:r w:rsidR="00802A9E">
        <w:tab/>
      </w:r>
      <w:r w:rsidRPr="00802A9E">
        <w:t>Risk assessment and risk management plan</w:t>
      </w:r>
    </w:p>
    <w:p w14:paraId="149974C7" w14:textId="6AF75A27" w:rsidR="0027223F" w:rsidRPr="00802A9E" w:rsidRDefault="0027223F" w:rsidP="00802A9E">
      <w:pPr>
        <w:tabs>
          <w:tab w:val="left" w:pos="2268"/>
        </w:tabs>
      </w:pPr>
      <w:r w:rsidRPr="00802A9E">
        <w:t>RNA</w:t>
      </w:r>
      <w:r w:rsidR="00802A9E">
        <w:tab/>
      </w:r>
      <w:r w:rsidRPr="00802A9E">
        <w:t>Ribonucleic acid</w:t>
      </w:r>
    </w:p>
    <w:p w14:paraId="5E21C3C5" w14:textId="768292D1" w:rsidR="0027223F" w:rsidRPr="00802A9E" w:rsidRDefault="0027223F" w:rsidP="00802A9E">
      <w:pPr>
        <w:tabs>
          <w:tab w:val="left" w:pos="2268"/>
        </w:tabs>
      </w:pPr>
      <w:r w:rsidRPr="00802A9E">
        <w:t>RNAi</w:t>
      </w:r>
      <w:r w:rsidR="00802A9E">
        <w:tab/>
      </w:r>
      <w:r w:rsidRPr="00802A9E">
        <w:t>Ribonucleic acid interference</w:t>
      </w:r>
    </w:p>
    <w:p w14:paraId="50603ADD" w14:textId="1D094E7C" w:rsidR="0027223F" w:rsidRPr="00802A9E" w:rsidRDefault="0027223F" w:rsidP="00802A9E">
      <w:pPr>
        <w:tabs>
          <w:tab w:val="left" w:pos="2268"/>
        </w:tabs>
      </w:pPr>
      <w:r w:rsidRPr="00802A9E">
        <w:t>States</w:t>
      </w:r>
      <w:r w:rsidR="00802A9E">
        <w:tab/>
      </w:r>
      <w:r w:rsidRPr="00802A9E">
        <w:t>Australian States and Territories</w:t>
      </w:r>
    </w:p>
    <w:p w14:paraId="16BF0DCC" w14:textId="5999DE4B" w:rsidR="0027223F" w:rsidRPr="00802A9E" w:rsidRDefault="0027223F" w:rsidP="00802A9E">
      <w:pPr>
        <w:tabs>
          <w:tab w:val="left" w:pos="2268"/>
        </w:tabs>
      </w:pPr>
      <w:r w:rsidRPr="00802A9E">
        <w:t>The Regulator</w:t>
      </w:r>
      <w:r w:rsidR="00802A9E">
        <w:tab/>
      </w:r>
      <w:r w:rsidRPr="00802A9E">
        <w:t>Gene Technology Regulator</w:t>
      </w:r>
    </w:p>
    <w:p w14:paraId="3A8118F6" w14:textId="6E5E6735" w:rsidR="0027223F" w:rsidRPr="00802A9E" w:rsidRDefault="0027223F" w:rsidP="00802A9E">
      <w:pPr>
        <w:tabs>
          <w:tab w:val="left" w:pos="2268"/>
        </w:tabs>
      </w:pPr>
      <w:r w:rsidRPr="00802A9E">
        <w:t>The Review</w:t>
      </w:r>
      <w:r w:rsidR="00802A9E">
        <w:tab/>
      </w:r>
      <w:r w:rsidRPr="00802A9E">
        <w:t>Gene Technology Act 2000 Review Panel</w:t>
      </w:r>
    </w:p>
    <w:p w14:paraId="05A764A5" w14:textId="4D50F761" w:rsidR="0027223F" w:rsidRPr="00802A9E" w:rsidRDefault="0027223F" w:rsidP="00802A9E">
      <w:pPr>
        <w:tabs>
          <w:tab w:val="left" w:pos="2268"/>
        </w:tabs>
      </w:pPr>
      <w:r w:rsidRPr="00802A9E">
        <w:t>TGA</w:t>
      </w:r>
      <w:r w:rsidR="00802A9E">
        <w:tab/>
      </w:r>
      <w:r w:rsidRPr="00802A9E">
        <w:t>Therapeutic Goods Administration</w:t>
      </w:r>
    </w:p>
    <w:p w14:paraId="01CCC82A" w14:textId="4B251FDB" w:rsidR="0027223F" w:rsidRPr="00802A9E" w:rsidRDefault="0027223F" w:rsidP="00802A9E">
      <w:pPr>
        <w:tabs>
          <w:tab w:val="left" w:pos="2268"/>
        </w:tabs>
      </w:pPr>
      <w:proofErr w:type="spellStart"/>
      <w:r w:rsidRPr="00802A9E">
        <w:t>ToR</w:t>
      </w:r>
      <w:proofErr w:type="spellEnd"/>
      <w:r w:rsidR="00802A9E">
        <w:tab/>
      </w:r>
      <w:r w:rsidRPr="00802A9E">
        <w:t>Term of reference</w:t>
      </w:r>
    </w:p>
    <w:p w14:paraId="2827ABE8" w14:textId="3591D1C0" w:rsidR="0027223F" w:rsidRPr="00802A9E" w:rsidRDefault="0027223F" w:rsidP="00802A9E">
      <w:pPr>
        <w:tabs>
          <w:tab w:val="left" w:pos="2268"/>
        </w:tabs>
      </w:pPr>
      <w:r w:rsidRPr="00802A9E">
        <w:t>TRIPs</w:t>
      </w:r>
      <w:r w:rsidR="00802A9E">
        <w:tab/>
      </w:r>
      <w:r w:rsidRPr="00802A9E">
        <w:t>Trade-Related Aspects of Intellectual Property Rights</w:t>
      </w:r>
    </w:p>
    <w:p w14:paraId="14FAA30D" w14:textId="5ADEA892" w:rsidR="0027223F" w:rsidRPr="00802A9E" w:rsidRDefault="0027223F" w:rsidP="00802A9E">
      <w:pPr>
        <w:tabs>
          <w:tab w:val="left" w:pos="2268"/>
        </w:tabs>
      </w:pPr>
      <w:r w:rsidRPr="00802A9E">
        <w:t>WHO</w:t>
      </w:r>
      <w:r w:rsidR="00802A9E">
        <w:tab/>
      </w:r>
      <w:r w:rsidRPr="00802A9E">
        <w:t>World Health Organization</w:t>
      </w:r>
    </w:p>
    <w:p w14:paraId="6E4DE3F0" w14:textId="77777777" w:rsidR="00FA3E2E" w:rsidRPr="00694EF4" w:rsidRDefault="00FA3E2E" w:rsidP="00802A9E">
      <w:pPr>
        <w:tabs>
          <w:tab w:val="left" w:pos="2268"/>
        </w:tabs>
        <w:rPr>
          <w:rFonts w:asciiTheme="minorHAnsi" w:hAnsiTheme="minorHAnsi" w:cstheme="minorHAnsi"/>
        </w:rPr>
        <w:sectPr w:rsidR="00FA3E2E" w:rsidRPr="00694EF4" w:rsidSect="00FA3E2E">
          <w:footerReference w:type="default" r:id="rId11"/>
          <w:pgSz w:w="11906" w:h="16838"/>
          <w:pgMar w:top="1440" w:right="1440" w:bottom="1440" w:left="1440" w:header="708" w:footer="708" w:gutter="0"/>
          <w:pgNumType w:fmt="lowerRoman" w:start="1"/>
          <w:cols w:space="708"/>
          <w:titlePg/>
          <w:docGrid w:linePitch="360"/>
        </w:sectPr>
      </w:pPr>
    </w:p>
    <w:p w14:paraId="3D2E738F" w14:textId="77777777" w:rsidR="0027223F" w:rsidRPr="00694EF4" w:rsidRDefault="0027223F">
      <w:pPr>
        <w:rPr>
          <w:rFonts w:asciiTheme="minorHAnsi" w:hAnsiTheme="minorHAnsi" w:cstheme="minorHAnsi"/>
        </w:rPr>
      </w:pPr>
      <w:r w:rsidRPr="00694EF4">
        <w:rPr>
          <w:rFonts w:asciiTheme="minorHAnsi" w:hAnsiTheme="minorHAnsi" w:cstheme="minorHAnsi"/>
        </w:rPr>
        <w:br w:type="page"/>
      </w:r>
    </w:p>
    <w:p w14:paraId="305F97D9" w14:textId="56F07FAD" w:rsidR="0027223F" w:rsidRPr="00694EF4" w:rsidRDefault="00235225" w:rsidP="006221B5">
      <w:pPr>
        <w:pStyle w:val="Heading1"/>
        <w:rPr>
          <w:b w:val="0"/>
        </w:rPr>
      </w:pPr>
      <w:bookmarkStart w:id="3" w:name="_Toc95326237"/>
      <w:r w:rsidRPr="00694EF4">
        <w:rPr>
          <w:b w:val="0"/>
        </w:rPr>
        <w:lastRenderedPageBreak/>
        <w:t>Executive summary</w:t>
      </w:r>
      <w:bookmarkEnd w:id="3"/>
    </w:p>
    <w:p w14:paraId="5E51218B" w14:textId="77777777" w:rsidR="001062CA" w:rsidRPr="00694EF4" w:rsidRDefault="001062CA" w:rsidP="006221B5">
      <w:pPr>
        <w:pStyle w:val="Heading2"/>
        <w:rPr>
          <w:b w:val="0"/>
        </w:rPr>
      </w:pPr>
      <w:bookmarkStart w:id="4" w:name="_Toc95326238"/>
      <w:r w:rsidRPr="00694EF4">
        <w:rPr>
          <w:b w:val="0"/>
        </w:rPr>
        <w:t>Background</w:t>
      </w:r>
      <w:bookmarkEnd w:id="4"/>
    </w:p>
    <w:p w14:paraId="6980B6CC" w14:textId="77777777" w:rsidR="001062CA" w:rsidRPr="00694EF4" w:rsidRDefault="001062CA" w:rsidP="00F63530">
      <w:r w:rsidRPr="00694EF4">
        <w:t>The Gene Technology Act 2000 (the Act) is the Australian Government’s component of the nationally consistent regulatory scheme for gene technology in Australia.</w:t>
      </w:r>
    </w:p>
    <w:p w14:paraId="09F1A021" w14:textId="77777777" w:rsidR="001062CA" w:rsidRPr="00694EF4" w:rsidRDefault="001062CA" w:rsidP="00F63530">
      <w:r w:rsidRPr="00694EF4">
        <w:t>The Act was passed following extensive public consultation and inquiries by Parliamentary committees.</w:t>
      </w:r>
    </w:p>
    <w:p w14:paraId="1598DAAC" w14:textId="77777777" w:rsidR="001062CA" w:rsidRPr="00694EF4" w:rsidRDefault="001062CA" w:rsidP="00F63530">
      <w:r w:rsidRPr="00694EF4">
        <w:t>Section 194 of the Act require d an independent review of the operation of the Act, including the structure of the Office of the Gene Technology Regulator (the OGTR), to be undertaken and tabled in Parliament by 21 June 2006, the fifth anniversary of the Act coming into force.</w:t>
      </w:r>
    </w:p>
    <w:p w14:paraId="2409B34E" w14:textId="77777777" w:rsidR="001062CA" w:rsidRPr="00694EF4" w:rsidRDefault="001062CA" w:rsidP="00F63530">
      <w:r w:rsidRPr="00694EF4">
        <w:t xml:space="preserve">The Gene Technology Ministerial Council (GTMC), which oversees the cooperative national legislative scheme, appointed the independent </w:t>
      </w:r>
      <w:proofErr w:type="gramStart"/>
      <w:r w:rsidRPr="00694EF4">
        <w:t>panel</w:t>
      </w:r>
      <w:proofErr w:type="gramEnd"/>
      <w:r w:rsidRPr="00694EF4">
        <w:t xml:space="preserve"> and issued terms of reference for the Review in May 2005. The terms of reference are set out in chapter 1.</w:t>
      </w:r>
    </w:p>
    <w:p w14:paraId="2330815E" w14:textId="77777777" w:rsidR="001062CA" w:rsidRPr="00694EF4" w:rsidRDefault="001062CA" w:rsidP="006221B5">
      <w:pPr>
        <w:pStyle w:val="Heading2"/>
        <w:rPr>
          <w:b w:val="0"/>
        </w:rPr>
      </w:pPr>
      <w:bookmarkStart w:id="5" w:name="_Toc95326239"/>
      <w:r w:rsidRPr="00694EF4">
        <w:rPr>
          <w:b w:val="0"/>
        </w:rPr>
        <w:t>Conduct of the Review</w:t>
      </w:r>
      <w:bookmarkEnd w:id="5"/>
    </w:p>
    <w:p w14:paraId="16DFB84F" w14:textId="77777777" w:rsidR="001062CA" w:rsidRPr="00694EF4" w:rsidRDefault="001062CA" w:rsidP="00F63530">
      <w:r w:rsidRPr="00694EF4">
        <w:t xml:space="preserve">The Review prepared five issues papers based on the key issues raised in the nearly 300 submissions received in response to the terms of reference. Extensive national public and stakeholder consultation was carried out to ensure that the Review heard, </w:t>
      </w:r>
      <w:proofErr w:type="gramStart"/>
      <w:r w:rsidRPr="00694EF4">
        <w:t>first hand</w:t>
      </w:r>
      <w:proofErr w:type="gramEnd"/>
      <w:r w:rsidRPr="00694EF4">
        <w:t>, the diverse range of community views in relation to the Act.</w:t>
      </w:r>
    </w:p>
    <w:p w14:paraId="1FAE7B47" w14:textId="77777777" w:rsidR="00441054" w:rsidRPr="00694EF4" w:rsidRDefault="001062CA" w:rsidP="00F63530">
      <w:r w:rsidRPr="00694EF4">
        <w:t>In addition to conducting public forums and stakeholder meetings, the Review visited contained laboratories and field trial sites. In undertaking the review and deciding</w:t>
      </w:r>
      <w:r w:rsidR="00FA3E2E" w:rsidRPr="00694EF4">
        <w:t xml:space="preserve"> </w:t>
      </w:r>
      <w:r w:rsidRPr="00694EF4">
        <w:t>recommendations, the Review considered material including the submissions received, the issues raised during consultations, the experience of the first four years of operation of the Act, emerging trends and international developments in gene technology and a range of reports and related literature.</w:t>
      </w:r>
    </w:p>
    <w:p w14:paraId="62F26C94" w14:textId="77777777" w:rsidR="00441054" w:rsidRPr="00694EF4" w:rsidRDefault="00441054" w:rsidP="006221B5">
      <w:pPr>
        <w:pStyle w:val="Heading2"/>
        <w:rPr>
          <w:b w:val="0"/>
        </w:rPr>
      </w:pPr>
      <w:bookmarkStart w:id="6" w:name="_Toc95326240"/>
      <w:r w:rsidRPr="00694EF4">
        <w:rPr>
          <w:b w:val="0"/>
        </w:rPr>
        <w:t>Scope of the Act</w:t>
      </w:r>
      <w:bookmarkEnd w:id="6"/>
    </w:p>
    <w:p w14:paraId="093C4269" w14:textId="77777777" w:rsidR="00441054" w:rsidRPr="00694EF4" w:rsidRDefault="00441054" w:rsidP="00F63530">
      <w:r w:rsidRPr="00694EF4">
        <w:t xml:space="preserve">While the Review heard a high level of support for the existing scope of the Act with its focus on health and safety of people and the environment, some stakeholders were concerned that the scope of the Act should be widened. </w:t>
      </w:r>
      <w:proofErr w:type="gramStart"/>
      <w:r w:rsidRPr="00694EF4">
        <w:t>In particular, non-</w:t>
      </w:r>
      <w:proofErr w:type="gramEnd"/>
      <w:r w:rsidRPr="00694EF4">
        <w:t>government organisations (NGOs) and farmers opposed to the introduction of genetically modified (GM) crops argued that the scope of the Act should be broadened to include economic, social and marketing impacts so that the impact on farmers who choose not to grow GM crops is considered under the Act. As discussed in chapter 3, the Review concluded that the existing scope of the Act should be maintained.</w:t>
      </w:r>
    </w:p>
    <w:p w14:paraId="274D7253" w14:textId="77777777" w:rsidR="00441054" w:rsidRPr="00694EF4" w:rsidRDefault="00441054" w:rsidP="006221B5">
      <w:pPr>
        <w:pStyle w:val="Heading2"/>
        <w:rPr>
          <w:b w:val="0"/>
        </w:rPr>
      </w:pPr>
      <w:bookmarkStart w:id="7" w:name="_Toc95326241"/>
      <w:r w:rsidRPr="00694EF4">
        <w:rPr>
          <w:b w:val="0"/>
        </w:rPr>
        <w:t>Act achieving its object</w:t>
      </w:r>
      <w:bookmarkEnd w:id="7"/>
    </w:p>
    <w:p w14:paraId="6127A262" w14:textId="77777777" w:rsidR="00441054" w:rsidRPr="00694EF4" w:rsidRDefault="00441054" w:rsidP="00F63530">
      <w:r w:rsidRPr="00694EF4">
        <w:t xml:space="preserve">The </w:t>
      </w:r>
      <w:r w:rsidRPr="00F63530">
        <w:t>Review</w:t>
      </w:r>
      <w:r w:rsidRPr="00694EF4">
        <w:t xml:space="preserve"> also found that the object of the Act — the protection of the health and safety of people and the environment — is being achieved. It found the Act to be rigorous with a high level of transparency in relation to the regulatory system. It also found that the regulatory framework set out in the Act is appropriate and is being applied effectively. However, the operational experience of the first four years has highlighted the need for some amendments to the regulatory system.</w:t>
      </w:r>
    </w:p>
    <w:p w14:paraId="73C230FF" w14:textId="77777777" w:rsidR="00441054" w:rsidRPr="00694EF4" w:rsidRDefault="00441054" w:rsidP="006221B5">
      <w:pPr>
        <w:pStyle w:val="Heading2"/>
        <w:rPr>
          <w:b w:val="0"/>
        </w:rPr>
      </w:pPr>
      <w:bookmarkStart w:id="8" w:name="_Toc95326242"/>
      <w:r w:rsidRPr="00694EF4">
        <w:rPr>
          <w:b w:val="0"/>
        </w:rPr>
        <w:lastRenderedPageBreak/>
        <w:t>Operation of the Act</w:t>
      </w:r>
      <w:bookmarkEnd w:id="8"/>
    </w:p>
    <w:p w14:paraId="7BDE8FE8" w14:textId="77777777" w:rsidR="00441054" w:rsidRPr="00694EF4" w:rsidRDefault="00441054" w:rsidP="00F63530">
      <w:r w:rsidRPr="00694EF4">
        <w:t xml:space="preserve">One of the strengths of </w:t>
      </w:r>
      <w:r w:rsidRPr="00F63530">
        <w:t>the</w:t>
      </w:r>
      <w:r w:rsidRPr="00694EF4">
        <w:t xml:space="preserve"> Act is the consultation required with States, prescribed agencies, the Environment Minister, the Gene Technology Technical Advisory Committee (GTTAC), relevant local councils and the public in respect of the Risk Assessment and Risk Management Plan (RARMP) as part of the licence approval process. This consultation is designed to ensure that all relevant issues are presented to the Regulator for consideration in her decision whether to issue a licence.</w:t>
      </w:r>
    </w:p>
    <w:p w14:paraId="2443BF6E" w14:textId="77777777" w:rsidR="00441054" w:rsidRPr="00694EF4" w:rsidRDefault="00441054" w:rsidP="00F63530">
      <w:r w:rsidRPr="00694EF4">
        <w:t xml:space="preserve">The Review concluded that the </w:t>
      </w:r>
      <w:r w:rsidRPr="00F63530">
        <w:t>consultative</w:t>
      </w:r>
      <w:r w:rsidRPr="00694EF4">
        <w:t xml:space="preserve"> structure and process generally worked well, but that it could be improved by ensuring that GTTAC’s membership includes members with primary expertise in public health and environmental risk assessment, combining the Gene Technology Ethics Committee (GTEC) and the Gene Technology Community Consultative Committee (GTCCC) and no longer requiring the National Health and Medical Research Council (NHMRC) to be consulted on all dealings involving intentional release (DIR) applications. Details of these recommendations are in chapter 5.</w:t>
      </w:r>
    </w:p>
    <w:p w14:paraId="56139416" w14:textId="77777777" w:rsidR="001062CA" w:rsidRPr="00694EF4" w:rsidRDefault="00441054" w:rsidP="00F63530">
      <w:r w:rsidRPr="00694EF4">
        <w:t>The Review heard a range of views on the timing and duration of the assessment of</w:t>
      </w:r>
      <w:r w:rsidR="001B5797" w:rsidRPr="00694EF4">
        <w:t xml:space="preserve"> </w:t>
      </w:r>
      <w:r w:rsidRPr="00694EF4">
        <w:t xml:space="preserve">applications by the Regulator. It concluded that </w:t>
      </w:r>
      <w:r w:rsidRPr="00F63530">
        <w:t>there</w:t>
      </w:r>
      <w:r w:rsidRPr="00694EF4">
        <w:t xml:space="preserve"> was a case for distinguishing</w:t>
      </w:r>
      <w:r w:rsidR="001B5797" w:rsidRPr="00694EF4">
        <w:t xml:space="preserve"> </w:t>
      </w:r>
      <w:r w:rsidRPr="00694EF4">
        <w:t>between field trials and commercial</w:t>
      </w:r>
      <w:r w:rsidR="001B5797" w:rsidRPr="00694EF4">
        <w:t xml:space="preserve"> releases of Genetically Modifi</w:t>
      </w:r>
      <w:r w:rsidRPr="00694EF4">
        <w:t>ed Organisms</w:t>
      </w:r>
      <w:r w:rsidR="001B5797" w:rsidRPr="00694EF4">
        <w:t xml:space="preserve"> </w:t>
      </w:r>
      <w:r w:rsidRPr="00694EF4">
        <w:t>(GMOs), reducing the time limit for assessing field trial applications but extending</w:t>
      </w:r>
      <w:r w:rsidR="001B5797" w:rsidRPr="00694EF4">
        <w:t xml:space="preserve"> </w:t>
      </w:r>
      <w:r w:rsidRPr="00694EF4">
        <w:t>it for commercial releases. It also recommended that a time limit be introduced for</w:t>
      </w:r>
      <w:r w:rsidR="001B5797" w:rsidRPr="00694EF4">
        <w:t xml:space="preserve"> </w:t>
      </w:r>
      <w:r w:rsidRPr="00694EF4">
        <w:t>consideration of licence variations.</w:t>
      </w:r>
    </w:p>
    <w:p w14:paraId="4824E184" w14:textId="77777777" w:rsidR="001B5797" w:rsidRPr="00694EF4" w:rsidRDefault="001B5797" w:rsidP="00F63530">
      <w:proofErr w:type="gramStart"/>
      <w:r w:rsidRPr="00694EF4">
        <w:t>A number of</w:t>
      </w:r>
      <w:proofErr w:type="gramEnd"/>
      <w:r w:rsidRPr="00694EF4">
        <w:t xml:space="preserve"> submissions called </w:t>
      </w:r>
      <w:r w:rsidRPr="00F63530">
        <w:t>for</w:t>
      </w:r>
      <w:r w:rsidRPr="00694EF4">
        <w:t xml:space="preserve"> more stringent application of the Regulator’s enforcement powers. After considering the issue in the light of the enforcement guidelines followed by the Regulator, the Review concluded that the powers are appropriate and used proportionately. The Review recommended amendments to the Act to allow the Regulator to direct licence-holders to comply with the Act in all circumstances, and to issue temporary permits to persons inadvertently finding themselves dealing with unlicensed GMOs so that these GMOs could be dealt with in accordance with the Act.</w:t>
      </w:r>
    </w:p>
    <w:p w14:paraId="09D57C41" w14:textId="77777777" w:rsidR="001B5797" w:rsidRPr="00694EF4" w:rsidRDefault="001B5797" w:rsidP="006221B5">
      <w:pPr>
        <w:pStyle w:val="Heading2"/>
        <w:rPr>
          <w:b w:val="0"/>
        </w:rPr>
      </w:pPr>
      <w:bookmarkStart w:id="9" w:name="_Toc95326243"/>
      <w:r w:rsidRPr="00694EF4">
        <w:rPr>
          <w:b w:val="0"/>
        </w:rPr>
        <w:t>Regulatory burden</w:t>
      </w:r>
      <w:bookmarkEnd w:id="9"/>
    </w:p>
    <w:p w14:paraId="5E0C6E40" w14:textId="77777777" w:rsidR="001B5797" w:rsidRPr="00694EF4" w:rsidRDefault="001B5797" w:rsidP="00F63530">
      <w:r w:rsidRPr="00694EF4">
        <w:t xml:space="preserve">Many submissions from the research community suggested that the regulatory burden imposed by the Act was not commensurate with the risk posed by dealings with GMOs by researchers. In discussions with researchers the Review also heard that the different guidelines for laboratory certification used by the Regulator and Australian Quarantine and Inspection Service (AQIS) caused </w:t>
      </w:r>
      <w:proofErr w:type="gramStart"/>
      <w:r w:rsidRPr="00694EF4">
        <w:t>a number of</w:t>
      </w:r>
      <w:proofErr w:type="gramEnd"/>
      <w:r w:rsidRPr="00694EF4">
        <w:t xml:space="preserve"> practical problems.</w:t>
      </w:r>
    </w:p>
    <w:p w14:paraId="1DEE86A3" w14:textId="77777777" w:rsidR="001B5797" w:rsidRPr="00694EF4" w:rsidRDefault="001B5797" w:rsidP="00F63530">
      <w:r w:rsidRPr="00694EF4">
        <w:t xml:space="preserve">The Review recommended (chapter 6) lessening the burden of compliance by removing any requirement to report on dealings with GMOs </w:t>
      </w:r>
      <w:r w:rsidRPr="00F63530">
        <w:t>exempted</w:t>
      </w:r>
      <w:r w:rsidRPr="00694EF4">
        <w:t xml:space="preserve"> by regulation and reducing the requirement to report on Notifiable Low Risk Dealings (NLRDs) to an annual report. It also recommended that the Regulator and AQIS work on harmonising certification requirements and introducing a system of single audits.</w:t>
      </w:r>
    </w:p>
    <w:p w14:paraId="0F149CE8" w14:textId="77777777" w:rsidR="001B5797" w:rsidRPr="00694EF4" w:rsidRDefault="001B5797" w:rsidP="006221B5">
      <w:pPr>
        <w:pStyle w:val="Heading2"/>
        <w:rPr>
          <w:b w:val="0"/>
        </w:rPr>
      </w:pPr>
      <w:bookmarkStart w:id="10" w:name="_Toc95326244"/>
      <w:r w:rsidRPr="00694EF4">
        <w:rPr>
          <w:b w:val="0"/>
        </w:rPr>
        <w:t>Interface with other systems</w:t>
      </w:r>
      <w:bookmarkEnd w:id="10"/>
    </w:p>
    <w:p w14:paraId="24D41C6A" w14:textId="77777777" w:rsidR="001B5797" w:rsidRPr="00694EF4" w:rsidRDefault="001B5797" w:rsidP="00F63530">
      <w:r w:rsidRPr="00694EF4">
        <w:t xml:space="preserve">The Review was told in submissions and </w:t>
      </w:r>
      <w:r w:rsidRPr="00F63530">
        <w:t>discussions</w:t>
      </w:r>
      <w:r w:rsidRPr="00694EF4">
        <w:t xml:space="preserve"> with industry that there was a sense of overlap and duplication between the Regulator and the other regulatory agencies.</w:t>
      </w:r>
    </w:p>
    <w:p w14:paraId="7852E7D2" w14:textId="77777777" w:rsidR="001B5797" w:rsidRPr="00694EF4" w:rsidRDefault="001B5797" w:rsidP="00F63530">
      <w:r w:rsidRPr="00694EF4">
        <w:t xml:space="preserve">Examination of the legislation </w:t>
      </w:r>
      <w:r w:rsidRPr="00F63530">
        <w:t>and</w:t>
      </w:r>
      <w:r w:rsidRPr="00694EF4">
        <w:t xml:space="preserve"> discussions with the other regulatory agencies led the Review to conclude that the agencies worked very well together to minimise duplication and ensure consistency and coherence. The Review believed that to some extent this outcome </w:t>
      </w:r>
      <w:r w:rsidRPr="00694EF4">
        <w:lastRenderedPageBreak/>
        <w:t xml:space="preserve">reflected the personalities of the various </w:t>
      </w:r>
      <w:proofErr w:type="gramStart"/>
      <w:r w:rsidRPr="00694EF4">
        <w:t>regulators, and</w:t>
      </w:r>
      <w:proofErr w:type="gramEnd"/>
      <w:r w:rsidRPr="00694EF4">
        <w:t xml:space="preserve"> recommended (chapter 7) that a forum should be established to formalise these arrangements.</w:t>
      </w:r>
    </w:p>
    <w:p w14:paraId="1F9450E9" w14:textId="77777777" w:rsidR="001B5797" w:rsidRPr="00694EF4" w:rsidRDefault="001B5797" w:rsidP="00F63530">
      <w:proofErr w:type="gramStart"/>
      <w:r w:rsidRPr="00694EF4">
        <w:t>A number of</w:t>
      </w:r>
      <w:proofErr w:type="gramEnd"/>
      <w:r w:rsidRPr="00694EF4">
        <w:t xml:space="preserve"> submissions to the Review called for a “one-stop shop” to regulate all aspects of GMOs, including their use as foodstuffs, agricultural chemicals or medicines. The Review considered that there was no evidence of failure under the current </w:t>
      </w:r>
      <w:proofErr w:type="gramStart"/>
      <w:r w:rsidRPr="00694EF4">
        <w:t>system, and</w:t>
      </w:r>
      <w:proofErr w:type="gramEnd"/>
      <w:r w:rsidRPr="00694EF4">
        <w:t xml:space="preserve"> concluded that the system should be maintained.</w:t>
      </w:r>
    </w:p>
    <w:p w14:paraId="17F0CA99" w14:textId="77777777" w:rsidR="001B5797" w:rsidRPr="00694EF4" w:rsidRDefault="001B5797" w:rsidP="00F63530">
      <w:r w:rsidRPr="00694EF4">
        <w:t xml:space="preserve">Finally, the Review examined </w:t>
      </w:r>
      <w:r w:rsidRPr="00F63530">
        <w:t>the</w:t>
      </w:r>
      <w:r w:rsidRPr="00694EF4">
        <w:t xml:space="preserve"> extent of overlap between the Act and other legislation, including State legislation. Given that State legislation was outside the scope of the Review, the Review recommended that the Regulator should take steps to align her requirements with those of Standards Australia as far as practicable.</w:t>
      </w:r>
    </w:p>
    <w:p w14:paraId="070054AB" w14:textId="77777777" w:rsidR="001B5797" w:rsidRPr="00694EF4" w:rsidRDefault="001B5797" w:rsidP="006221B5">
      <w:pPr>
        <w:pStyle w:val="Heading2"/>
        <w:rPr>
          <w:b w:val="0"/>
        </w:rPr>
      </w:pPr>
      <w:bookmarkStart w:id="11" w:name="_Toc95326245"/>
      <w:r w:rsidRPr="00694EF4">
        <w:rPr>
          <w:b w:val="0"/>
        </w:rPr>
        <w:t>Changing circumstances</w:t>
      </w:r>
      <w:bookmarkEnd w:id="11"/>
    </w:p>
    <w:p w14:paraId="32BCE742" w14:textId="77777777" w:rsidR="001B5797" w:rsidRPr="00694EF4" w:rsidRDefault="001B5797" w:rsidP="00F63530">
      <w:r w:rsidRPr="00694EF4">
        <w:t xml:space="preserve">The Review was not told of any development in the last four years which had cast doubt on the Act’s flexibility to deal with changing circumstances and emerging technologies. It recommended (chapter 8) that the Act should be reviewed again in five years to ensure that it continues to accommodate emerging trends. The Review also examined the gene technology regulatory frameworks in </w:t>
      </w:r>
      <w:proofErr w:type="gramStart"/>
      <w:r w:rsidRPr="00694EF4">
        <w:t>a number of</w:t>
      </w:r>
      <w:proofErr w:type="gramEnd"/>
      <w:r w:rsidRPr="00694EF4">
        <w:t xml:space="preserve"> countries including Australia’s major trading partners and competitors. It did not identify any features in overseas systems that could be adopted to enhance the operation of the Australian system. Indeed, the Review concluded that the Australian system is one of the most rigorous, </w:t>
      </w:r>
      <w:proofErr w:type="gramStart"/>
      <w:r w:rsidRPr="00694EF4">
        <w:t>transparent</w:t>
      </w:r>
      <w:proofErr w:type="gramEnd"/>
      <w:r w:rsidRPr="00694EF4">
        <w:t xml:space="preserve"> and accessible.</w:t>
      </w:r>
    </w:p>
    <w:p w14:paraId="76E93C26" w14:textId="77777777" w:rsidR="001B5797" w:rsidRPr="00694EF4" w:rsidRDefault="001B5797" w:rsidP="006221B5">
      <w:pPr>
        <w:pStyle w:val="Heading2"/>
        <w:rPr>
          <w:b w:val="0"/>
        </w:rPr>
      </w:pPr>
      <w:bookmarkStart w:id="12" w:name="_Toc95326246"/>
      <w:r w:rsidRPr="00694EF4">
        <w:rPr>
          <w:b w:val="0"/>
        </w:rPr>
        <w:t>The Inter-governmental Agreement</w:t>
      </w:r>
      <w:bookmarkEnd w:id="12"/>
    </w:p>
    <w:p w14:paraId="6CB573F7" w14:textId="77777777" w:rsidR="001B5797" w:rsidRPr="00694EF4" w:rsidRDefault="001B5797" w:rsidP="00F63530">
      <w:r w:rsidRPr="00694EF4">
        <w:t xml:space="preserve">The major issue raised with the Review in relation to the Inter-governmental Agreement on Gene Technology (IGA) was the extent to which State moratoria on the growing of GM crops had undermined the nationally consistent framework which the IGA was intended to support. As discussed in chapter 9, industry, many farming and research groups were critical of the moratoria as halting the path to market for GMO food crops approved for commercial release by the Regulator, creating regulatory uncertainty, stopping further investment in GMO food </w:t>
      </w:r>
      <w:proofErr w:type="gramStart"/>
      <w:r w:rsidRPr="00694EF4">
        <w:t>crops</w:t>
      </w:r>
      <w:proofErr w:type="gramEnd"/>
      <w:r w:rsidRPr="00694EF4">
        <w:t xml:space="preserve"> and limiting Australian farmers’ ability to compete internationally. On the other hand, NGOs and farming groups opposed to GMOs supported the moratoria, arguing that the States should have the right to decide not to allow GM crops to be grown if growing them would threaten markets for non-GM crops.</w:t>
      </w:r>
    </w:p>
    <w:p w14:paraId="082EB5CF" w14:textId="77777777" w:rsidR="001B5797" w:rsidRPr="00694EF4" w:rsidRDefault="001B5797" w:rsidP="00F63530">
      <w:r w:rsidRPr="00694EF4">
        <w:t xml:space="preserve">The Review noted that there was no </w:t>
      </w:r>
      <w:r w:rsidRPr="00F63530">
        <w:t>evidence</w:t>
      </w:r>
      <w:r w:rsidRPr="00694EF4">
        <w:t xml:space="preserve"> of adverse impacts on </w:t>
      </w:r>
      <w:proofErr w:type="gramStart"/>
      <w:r w:rsidRPr="00694EF4">
        <w:t>markets, and</w:t>
      </w:r>
      <w:proofErr w:type="gramEnd"/>
      <w:r w:rsidRPr="00694EF4">
        <w:t xml:space="preserve"> concluded that the moratoria were having detrimental rather than beneficial impacts. It recommended that all jurisdictions should reaffirm their commitment to a nationally consistent scheme, including a nationally consistent approach to market considerations, and work together to develop a national co-existence framework.</w:t>
      </w:r>
    </w:p>
    <w:p w14:paraId="0301690C" w14:textId="77777777" w:rsidR="001B5797" w:rsidRPr="00694EF4" w:rsidRDefault="001B5797">
      <w:pPr>
        <w:rPr>
          <w:rFonts w:asciiTheme="minorHAnsi" w:hAnsiTheme="minorHAnsi" w:cstheme="minorHAnsi"/>
        </w:rPr>
      </w:pPr>
      <w:r w:rsidRPr="00694EF4">
        <w:rPr>
          <w:rFonts w:asciiTheme="minorHAnsi" w:hAnsiTheme="minorHAnsi" w:cstheme="minorHAnsi"/>
        </w:rPr>
        <w:br w:type="page"/>
      </w:r>
    </w:p>
    <w:p w14:paraId="6827903A" w14:textId="3C8E7DB2" w:rsidR="001B5797" w:rsidRPr="00694EF4" w:rsidRDefault="00235225" w:rsidP="006221B5">
      <w:pPr>
        <w:pStyle w:val="Heading1"/>
        <w:rPr>
          <w:b w:val="0"/>
        </w:rPr>
      </w:pPr>
      <w:bookmarkStart w:id="13" w:name="_Toc95326247"/>
      <w:r w:rsidRPr="00694EF4">
        <w:rPr>
          <w:b w:val="0"/>
        </w:rPr>
        <w:lastRenderedPageBreak/>
        <w:t>List of recommendations</w:t>
      </w:r>
      <w:bookmarkEnd w:id="13"/>
    </w:p>
    <w:p w14:paraId="50D4FAFB" w14:textId="77777777" w:rsidR="00605509" w:rsidRPr="00694EF4" w:rsidRDefault="00605509" w:rsidP="006221B5">
      <w:pPr>
        <w:pStyle w:val="Heading2"/>
        <w:rPr>
          <w:b w:val="0"/>
        </w:rPr>
      </w:pPr>
      <w:bookmarkStart w:id="14" w:name="_Toc95326248"/>
      <w:r w:rsidRPr="00694EF4">
        <w:rPr>
          <w:b w:val="0"/>
        </w:rPr>
        <w:t>Chapter Three: Scope of the Act (Term of Reference 1)</w:t>
      </w:r>
      <w:bookmarkEnd w:id="14"/>
    </w:p>
    <w:p w14:paraId="15AD4DF9" w14:textId="77777777" w:rsidR="00605509" w:rsidRPr="00694EF4" w:rsidRDefault="00605509" w:rsidP="001212B0">
      <w:pPr>
        <w:shd w:val="clear" w:color="auto" w:fill="E2EFD9" w:themeFill="accent6" w:themeFillTint="33"/>
      </w:pPr>
      <w:r w:rsidRPr="00694EF4">
        <w:t>Review the scope of the Act to determine whether the policy objectives remain valid; and consider other issues, technologies or organisms that may be included in the scope of the Act, including:</w:t>
      </w:r>
    </w:p>
    <w:p w14:paraId="3494F451" w14:textId="77777777" w:rsidR="00605509" w:rsidRPr="00694EF4" w:rsidRDefault="00605509" w:rsidP="001212B0">
      <w:pPr>
        <w:shd w:val="clear" w:color="auto" w:fill="E2EFD9" w:themeFill="accent6" w:themeFillTint="33"/>
      </w:pPr>
      <w:r w:rsidRPr="00694EF4">
        <w:t>a) Consideration of economic, marketing and trade, cultural and social impacts, and re-examine how ethical issues are considered</w:t>
      </w:r>
    </w:p>
    <w:p w14:paraId="516D9D5E" w14:textId="77777777" w:rsidR="00605509" w:rsidRPr="00AB781B" w:rsidRDefault="00605509" w:rsidP="001212B0">
      <w:pPr>
        <w:shd w:val="clear" w:color="auto" w:fill="E2EFD9" w:themeFill="accent6" w:themeFillTint="33"/>
      </w:pPr>
      <w:r w:rsidRPr="00AB781B">
        <w:t>b) The definitions in the Act, including of the environment, and the need for the definition of other terms, including health</w:t>
      </w:r>
    </w:p>
    <w:p w14:paraId="753B0619" w14:textId="77777777" w:rsidR="00605509" w:rsidRPr="00AB781B" w:rsidRDefault="00605509" w:rsidP="001212B0">
      <w:pPr>
        <w:shd w:val="clear" w:color="auto" w:fill="E2EFD9" w:themeFill="accent6" w:themeFillTint="33"/>
      </w:pPr>
      <w:r w:rsidRPr="00AB781B">
        <w:t>c) Consideration of the technologies and organisms covered by the Act</w:t>
      </w:r>
    </w:p>
    <w:p w14:paraId="7465DCF2" w14:textId="77777777" w:rsidR="00605509" w:rsidRPr="00AB781B" w:rsidRDefault="00605509" w:rsidP="001212B0">
      <w:pPr>
        <w:shd w:val="clear" w:color="auto" w:fill="E2EFD9" w:themeFill="accent6" w:themeFillTint="33"/>
      </w:pPr>
      <w:r w:rsidRPr="00AB781B">
        <w:t xml:space="preserve">d) Consideration of a trait </w:t>
      </w:r>
      <w:proofErr w:type="gramStart"/>
      <w:r w:rsidRPr="00AB781B">
        <w:t>based</w:t>
      </w:r>
      <w:proofErr w:type="gramEnd"/>
      <w:r w:rsidRPr="00AB781B">
        <w:t xml:space="preserve"> or novel organism based regulatory scope</w:t>
      </w:r>
    </w:p>
    <w:p w14:paraId="02DA3777" w14:textId="77777777" w:rsidR="00605509" w:rsidRPr="00694EF4" w:rsidRDefault="00605509" w:rsidP="006221B5">
      <w:pPr>
        <w:pStyle w:val="Heading3"/>
        <w:rPr>
          <w:b w:val="0"/>
        </w:rPr>
      </w:pPr>
      <w:r w:rsidRPr="00694EF4">
        <w:rPr>
          <w:b w:val="0"/>
        </w:rPr>
        <w:t>Recommendation 3.1:</w:t>
      </w:r>
    </w:p>
    <w:p w14:paraId="088E73FA" w14:textId="77777777" w:rsidR="00605509" w:rsidRPr="00AB781B" w:rsidRDefault="00605509" w:rsidP="00AB781B">
      <w:r w:rsidRPr="00AB781B">
        <w:t>The Review concluded that the policy objectives remain valid and recommends that the scope of the Act should be maintained.</w:t>
      </w:r>
    </w:p>
    <w:p w14:paraId="5C03E396" w14:textId="77777777" w:rsidR="00605509" w:rsidRPr="00694EF4" w:rsidRDefault="00605509" w:rsidP="006221B5">
      <w:pPr>
        <w:pStyle w:val="Heading3"/>
        <w:rPr>
          <w:b w:val="0"/>
        </w:rPr>
      </w:pPr>
      <w:r w:rsidRPr="00694EF4">
        <w:rPr>
          <w:b w:val="0"/>
        </w:rPr>
        <w:t>Recommendation 3.2:</w:t>
      </w:r>
    </w:p>
    <w:p w14:paraId="1C3ED0F2" w14:textId="77777777" w:rsidR="00605509" w:rsidRPr="00AB781B" w:rsidRDefault="00605509" w:rsidP="00AB781B">
      <w:r w:rsidRPr="00AB781B">
        <w:t>The Review recommends that the definitions in the Act remain unchanged.</w:t>
      </w:r>
    </w:p>
    <w:p w14:paraId="7D821838" w14:textId="77777777" w:rsidR="00605509" w:rsidRPr="00694EF4" w:rsidRDefault="00605509" w:rsidP="00FE154A">
      <w:pPr>
        <w:pStyle w:val="Heading2"/>
      </w:pPr>
      <w:bookmarkStart w:id="15" w:name="_Toc95326249"/>
      <w:r w:rsidRPr="00694EF4">
        <w:t>Chapter Four: Act Achieving Objects (Term of Reference 2)</w:t>
      </w:r>
      <w:bookmarkEnd w:id="15"/>
    </w:p>
    <w:p w14:paraId="02E829BD" w14:textId="77777777" w:rsidR="00605509" w:rsidRPr="00AB781B" w:rsidRDefault="00605509" w:rsidP="001212B0">
      <w:pPr>
        <w:shd w:val="clear" w:color="auto" w:fill="E2EFD9" w:themeFill="accent6" w:themeFillTint="33"/>
      </w:pPr>
      <w:r w:rsidRPr="00AB781B">
        <w:t>Investigate whether the object of the Act is being achieved and whether the regulatory framework stipulated in section 4 of the Act is still appropriate.</w:t>
      </w:r>
    </w:p>
    <w:p w14:paraId="1F95E1D9" w14:textId="77777777" w:rsidR="00605509" w:rsidRPr="00694EF4" w:rsidRDefault="00605509" w:rsidP="00FE154A">
      <w:pPr>
        <w:pStyle w:val="Heading3"/>
      </w:pPr>
      <w:r w:rsidRPr="00694EF4">
        <w:t>Recommendation 4.1:</w:t>
      </w:r>
    </w:p>
    <w:p w14:paraId="5405FF6D" w14:textId="77777777" w:rsidR="00605509" w:rsidRPr="00AB781B" w:rsidRDefault="00605509" w:rsidP="00AB781B">
      <w:r w:rsidRPr="00AB781B">
        <w:t>The Review concluded that the object of the Act is being achieved and recommends that the principles of the regulatory framework stipulated in section 4 be maintained. (Some legislative amendments may be required to accommodate the remainder of the recommendations in this chapter).</w:t>
      </w:r>
    </w:p>
    <w:p w14:paraId="7022CA6F" w14:textId="77777777" w:rsidR="00605509" w:rsidRPr="00694EF4" w:rsidRDefault="00605509" w:rsidP="00FE154A">
      <w:pPr>
        <w:pStyle w:val="Heading3"/>
      </w:pPr>
      <w:r w:rsidRPr="00694EF4">
        <w:t>Recommendation 4.2:</w:t>
      </w:r>
    </w:p>
    <w:p w14:paraId="01BD05F4" w14:textId="77777777" w:rsidR="00605509" w:rsidRPr="00694EF4" w:rsidRDefault="00605509" w:rsidP="00AB781B">
      <w:r w:rsidRPr="00694EF4">
        <w:t xml:space="preserve">The Review </w:t>
      </w:r>
      <w:r w:rsidRPr="00AB781B">
        <w:t>recommends</w:t>
      </w:r>
      <w:r w:rsidRPr="00694EF4">
        <w:t xml:space="preserve"> that the Act be amended to include powers for the relevant Minister to issue a special licence in an emergency (</w:t>
      </w:r>
      <w:proofErr w:type="gramStart"/>
      <w:r w:rsidRPr="00694EF4">
        <w:t>similar to</w:t>
      </w:r>
      <w:proofErr w:type="gramEnd"/>
      <w:r w:rsidRPr="00694EF4">
        <w:t xml:space="preserve"> provisions in other relevant regulatory schemes).</w:t>
      </w:r>
    </w:p>
    <w:p w14:paraId="4B9A1E68" w14:textId="77777777" w:rsidR="00605509" w:rsidRPr="00694EF4" w:rsidRDefault="00605509" w:rsidP="00FE154A">
      <w:pPr>
        <w:pStyle w:val="Heading3"/>
      </w:pPr>
      <w:r w:rsidRPr="00694EF4">
        <w:t>Recommendation 4.3:</w:t>
      </w:r>
    </w:p>
    <w:p w14:paraId="728D6189" w14:textId="77777777" w:rsidR="00605509" w:rsidRPr="00694EF4" w:rsidRDefault="00605509" w:rsidP="00AB781B">
      <w:r w:rsidRPr="00694EF4">
        <w:t>The Review recommends that the Regulator continue to participate actively in the development of international guidance on acceptable data packages.</w:t>
      </w:r>
    </w:p>
    <w:p w14:paraId="34E3A8E0" w14:textId="77777777" w:rsidR="00605509" w:rsidRPr="00694EF4" w:rsidRDefault="00605509" w:rsidP="00FE154A">
      <w:pPr>
        <w:pStyle w:val="Heading3"/>
      </w:pPr>
      <w:r w:rsidRPr="00694EF4">
        <w:t>Recommendation 4.4:</w:t>
      </w:r>
    </w:p>
    <w:p w14:paraId="1CD266A1" w14:textId="77777777" w:rsidR="00605509" w:rsidRPr="00AB781B" w:rsidRDefault="00605509" w:rsidP="00AB781B">
      <w:r w:rsidRPr="00AB781B">
        <w:t>The Review recommends that technical amendments suggested by the Regulator should be made to improve the workability of the Act.</w:t>
      </w:r>
    </w:p>
    <w:p w14:paraId="00F4206E" w14:textId="77777777" w:rsidR="00605509" w:rsidRPr="00694EF4" w:rsidRDefault="00605509" w:rsidP="00FE154A">
      <w:pPr>
        <w:pStyle w:val="Heading2"/>
      </w:pPr>
      <w:bookmarkStart w:id="16" w:name="_Toc95326250"/>
      <w:r w:rsidRPr="00694EF4">
        <w:t>Chapter Five: Operation of the Act - (Terms of Reference 3, 4 and 5)</w:t>
      </w:r>
      <w:bookmarkEnd w:id="16"/>
    </w:p>
    <w:p w14:paraId="308CD19C" w14:textId="77777777" w:rsidR="00605509" w:rsidRPr="00AB781B" w:rsidRDefault="00605509" w:rsidP="001212B0">
      <w:pPr>
        <w:shd w:val="clear" w:color="auto" w:fill="E2EFD9" w:themeFill="accent6" w:themeFillTint="33"/>
      </w:pPr>
      <w:r w:rsidRPr="00AB781B">
        <w:t>3. Examine the structure and effectiveness of the OGTR.</w:t>
      </w:r>
    </w:p>
    <w:p w14:paraId="2552299D" w14:textId="77777777" w:rsidR="00605509" w:rsidRPr="00AB781B" w:rsidRDefault="00605509" w:rsidP="001212B0">
      <w:pPr>
        <w:shd w:val="clear" w:color="auto" w:fill="E2EFD9" w:themeFill="accent6" w:themeFillTint="33"/>
      </w:pPr>
      <w:r w:rsidRPr="00AB781B">
        <w:t>4. Review the consultation provisions of the Act including:</w:t>
      </w:r>
    </w:p>
    <w:p w14:paraId="5C132624" w14:textId="77777777" w:rsidR="00605509" w:rsidRPr="00AB781B" w:rsidRDefault="00605509" w:rsidP="001212B0">
      <w:pPr>
        <w:shd w:val="clear" w:color="auto" w:fill="E2EFD9" w:themeFill="accent6" w:themeFillTint="33"/>
      </w:pPr>
      <w:r w:rsidRPr="00AB781B">
        <w:lastRenderedPageBreak/>
        <w:t xml:space="preserve">a) Their effectiveness with respect to their costs and benefits, including the value of advice received, and the transparency and accountability they </w:t>
      </w:r>
      <w:proofErr w:type="gramStart"/>
      <w:r w:rsidRPr="00AB781B">
        <w:t>provide;</w:t>
      </w:r>
      <w:proofErr w:type="gramEnd"/>
    </w:p>
    <w:p w14:paraId="65AB1AD0" w14:textId="77777777" w:rsidR="00605509" w:rsidRPr="00AB781B" w:rsidRDefault="00605509" w:rsidP="001212B0">
      <w:pPr>
        <w:shd w:val="clear" w:color="auto" w:fill="E2EFD9" w:themeFill="accent6" w:themeFillTint="33"/>
      </w:pPr>
      <w:r w:rsidRPr="00AB781B">
        <w:t xml:space="preserve">b) The functions and roles of the statutory advisory </w:t>
      </w:r>
      <w:proofErr w:type="gramStart"/>
      <w:r w:rsidRPr="00AB781B">
        <w:t>committees;</w:t>
      </w:r>
      <w:proofErr w:type="gramEnd"/>
    </w:p>
    <w:p w14:paraId="70309D16" w14:textId="77777777" w:rsidR="00605509" w:rsidRPr="00AB781B" w:rsidRDefault="00605509" w:rsidP="001212B0">
      <w:pPr>
        <w:shd w:val="clear" w:color="auto" w:fill="E2EFD9" w:themeFill="accent6" w:themeFillTint="33"/>
      </w:pPr>
      <w:r w:rsidRPr="00AB781B">
        <w:t>c) The statutory timeframes for applications under the Act; and</w:t>
      </w:r>
    </w:p>
    <w:p w14:paraId="14075B0B" w14:textId="77777777" w:rsidR="00605509" w:rsidRPr="00AB781B" w:rsidRDefault="00605509" w:rsidP="001212B0">
      <w:pPr>
        <w:shd w:val="clear" w:color="auto" w:fill="E2EFD9" w:themeFill="accent6" w:themeFillTint="33"/>
      </w:pPr>
      <w:r w:rsidRPr="00AB781B">
        <w:t>d) The stakeholders included in consultations for various applications under the Act.</w:t>
      </w:r>
    </w:p>
    <w:p w14:paraId="793C66D2" w14:textId="77777777" w:rsidR="00605509" w:rsidRPr="00694EF4" w:rsidRDefault="00605509" w:rsidP="001212B0">
      <w:pPr>
        <w:shd w:val="clear" w:color="auto" w:fill="E2EFD9" w:themeFill="accent6" w:themeFillTint="33"/>
      </w:pPr>
      <w:r w:rsidRPr="00AB781B">
        <w:t xml:space="preserve">5. Determine whether the powers of the Act allow enforcement of </w:t>
      </w:r>
      <w:proofErr w:type="gramStart"/>
      <w:r w:rsidRPr="00AB781B">
        <w:t>compliance</w:t>
      </w:r>
      <w:proofErr w:type="gramEnd"/>
      <w:r w:rsidRPr="00AB781B">
        <w:t xml:space="preserve"> which is effective and appropriate to the circumstances, including instances where GMOs may be detected that are</w:t>
      </w:r>
      <w:r w:rsidRPr="00694EF4">
        <w:t xml:space="preserve"> present unintentionally.</w:t>
      </w:r>
    </w:p>
    <w:p w14:paraId="749DCF48" w14:textId="77777777" w:rsidR="00F75CE4" w:rsidRPr="001212B0" w:rsidRDefault="00F75CE4" w:rsidP="001212B0">
      <w:pPr>
        <w:rPr>
          <w:b/>
          <w:bCs/>
        </w:rPr>
      </w:pPr>
      <w:r w:rsidRPr="001212B0">
        <w:rPr>
          <w:b/>
          <w:bCs/>
        </w:rPr>
        <w:t>(Term of Reference 3)</w:t>
      </w:r>
    </w:p>
    <w:p w14:paraId="6525E980" w14:textId="77777777" w:rsidR="00F75CE4" w:rsidRPr="00AB781B" w:rsidRDefault="00F75CE4" w:rsidP="00AB781B">
      <w:r w:rsidRPr="00AB781B">
        <w:t>The Review noted that the issues raised in TOR 3 were recently the subject of an intensive and thorough review by the Australian National Audit Office (ANAO). The Review has not made recommendations additional to those of the ANAO.</w:t>
      </w:r>
    </w:p>
    <w:p w14:paraId="7A7BC683" w14:textId="77777777" w:rsidR="00F75CE4" w:rsidRPr="00694EF4" w:rsidRDefault="00F75CE4" w:rsidP="00FE154A">
      <w:pPr>
        <w:pStyle w:val="Heading3"/>
      </w:pPr>
      <w:r w:rsidRPr="00694EF4">
        <w:t>Recommendation 5.1 (</w:t>
      </w:r>
      <w:proofErr w:type="spellStart"/>
      <w:r w:rsidRPr="00694EF4">
        <w:t>ToR</w:t>
      </w:r>
      <w:proofErr w:type="spellEnd"/>
      <w:r w:rsidRPr="00694EF4">
        <w:t xml:space="preserve"> 4):</w:t>
      </w:r>
    </w:p>
    <w:p w14:paraId="797B88D2" w14:textId="77777777" w:rsidR="00F75CE4" w:rsidRPr="00AB781B" w:rsidRDefault="00F75CE4" w:rsidP="00AB781B">
      <w:r w:rsidRPr="00AB781B">
        <w:t>The Review recommends that GTTAC should include members whose primary expertise is in public health and in environmental risk assessment.</w:t>
      </w:r>
    </w:p>
    <w:p w14:paraId="20E79A3F" w14:textId="77777777" w:rsidR="00F75CE4" w:rsidRPr="00694EF4" w:rsidRDefault="00F75CE4" w:rsidP="00FE154A">
      <w:pPr>
        <w:pStyle w:val="Heading3"/>
      </w:pPr>
      <w:r w:rsidRPr="00694EF4">
        <w:t>Recommendation 5.2 (</w:t>
      </w:r>
      <w:proofErr w:type="spellStart"/>
      <w:r w:rsidRPr="00694EF4">
        <w:t>ToR</w:t>
      </w:r>
      <w:proofErr w:type="spellEnd"/>
      <w:r w:rsidRPr="00694EF4">
        <w:t xml:space="preserve"> 4):</w:t>
      </w:r>
    </w:p>
    <w:p w14:paraId="7015335B" w14:textId="77777777" w:rsidR="00F75CE4" w:rsidRPr="00694EF4" w:rsidRDefault="00F75CE4" w:rsidP="00AB781B">
      <w:r w:rsidRPr="00694EF4">
        <w:t xml:space="preserve">The </w:t>
      </w:r>
      <w:r w:rsidRPr="00AB781B">
        <w:t>Review</w:t>
      </w:r>
      <w:r w:rsidRPr="00694EF4">
        <w:t xml:space="preserve"> recommends that GTEC and GTCCC be combined into one advisory committee, with the combined functions of the two committees.</w:t>
      </w:r>
    </w:p>
    <w:p w14:paraId="78602D68" w14:textId="77777777" w:rsidR="00F75CE4" w:rsidRPr="00694EF4" w:rsidRDefault="00F75CE4" w:rsidP="00FE154A">
      <w:pPr>
        <w:pStyle w:val="Heading3"/>
      </w:pPr>
      <w:r w:rsidRPr="00694EF4">
        <w:t>Recommendation 5.3 (</w:t>
      </w:r>
      <w:proofErr w:type="spellStart"/>
      <w:r w:rsidRPr="00694EF4">
        <w:t>ToR</w:t>
      </w:r>
      <w:proofErr w:type="spellEnd"/>
      <w:r w:rsidRPr="00694EF4">
        <w:t xml:space="preserve"> 4):</w:t>
      </w:r>
    </w:p>
    <w:p w14:paraId="1CBAD8A8" w14:textId="77777777" w:rsidR="00F75CE4" w:rsidRPr="00694EF4" w:rsidRDefault="00F75CE4" w:rsidP="00AB781B">
      <w:r w:rsidRPr="00694EF4">
        <w:t>The Review recommends that a function of the new single statutory committee include providing advice within the confines of the Act, on the request of the Regulator or the GTMC, on community consultation and risk communication matters for the DIR commercial licence application process.</w:t>
      </w:r>
    </w:p>
    <w:p w14:paraId="471671D5" w14:textId="77777777" w:rsidR="00F75CE4" w:rsidRPr="00694EF4" w:rsidRDefault="00F75CE4" w:rsidP="00FE154A">
      <w:pPr>
        <w:pStyle w:val="Heading3"/>
      </w:pPr>
      <w:r w:rsidRPr="00694EF4">
        <w:t>Recommendation 5.4 (</w:t>
      </w:r>
      <w:proofErr w:type="spellStart"/>
      <w:r w:rsidRPr="00694EF4">
        <w:t>ToR</w:t>
      </w:r>
      <w:proofErr w:type="spellEnd"/>
      <w:r w:rsidRPr="00694EF4">
        <w:t xml:space="preserve"> 4):</w:t>
      </w:r>
    </w:p>
    <w:p w14:paraId="4319D930" w14:textId="77777777" w:rsidR="00F75CE4" w:rsidRPr="00694EF4" w:rsidRDefault="00F75CE4" w:rsidP="00AB781B">
      <w:r w:rsidRPr="00694EF4">
        <w:t xml:space="preserve">The Review recommends that, </w:t>
      </w:r>
      <w:proofErr w:type="gramStart"/>
      <w:r w:rsidRPr="00694EF4">
        <w:t>in light of</w:t>
      </w:r>
      <w:proofErr w:type="gramEnd"/>
      <w:r w:rsidRPr="00694EF4">
        <w:t xml:space="preserve"> the NHMRC’s practical experience as a prescribed agency, its role be changed from a prescribed agency to one where the Regulator can seek its advice as appropriate.</w:t>
      </w:r>
    </w:p>
    <w:p w14:paraId="51ADD3FD" w14:textId="77777777" w:rsidR="00F75CE4" w:rsidRPr="00694EF4" w:rsidRDefault="00F75CE4" w:rsidP="00FE154A">
      <w:pPr>
        <w:pStyle w:val="Heading3"/>
      </w:pPr>
      <w:r w:rsidRPr="00694EF4">
        <w:t>Recommendation 5.5 (</w:t>
      </w:r>
      <w:proofErr w:type="spellStart"/>
      <w:r w:rsidRPr="00694EF4">
        <w:t>ToR</w:t>
      </w:r>
      <w:proofErr w:type="spellEnd"/>
      <w:r w:rsidRPr="00694EF4">
        <w:t xml:space="preserve"> 4):</w:t>
      </w:r>
    </w:p>
    <w:p w14:paraId="14AA6AAD" w14:textId="77777777" w:rsidR="00F75CE4" w:rsidRPr="00694EF4" w:rsidRDefault="00F75CE4" w:rsidP="00AB781B">
      <w:r w:rsidRPr="00694EF4">
        <w:t>The Review recommends that section 49 should be deleted and that sections 51–52 should be amended to:</w:t>
      </w:r>
    </w:p>
    <w:p w14:paraId="68CB398D" w14:textId="552FCDC8" w:rsidR="00F75CE4" w:rsidRPr="00AB781B" w:rsidRDefault="00F75CE4" w:rsidP="009F018E">
      <w:pPr>
        <w:pStyle w:val="ListParagraph"/>
        <w:numPr>
          <w:ilvl w:val="0"/>
          <w:numId w:val="2"/>
        </w:numPr>
      </w:pPr>
      <w:r w:rsidRPr="00AB781B">
        <w:t xml:space="preserve">require the Regulator to identify whether or not the GMO poses a significant risk to the health and safety of people or the environment as part of the preparation of the </w:t>
      </w:r>
      <w:proofErr w:type="gramStart"/>
      <w:r w:rsidRPr="00AB781B">
        <w:t>RARMP;</w:t>
      </w:r>
      <w:proofErr w:type="gramEnd"/>
    </w:p>
    <w:p w14:paraId="576BB3BB" w14:textId="7B5D16E7" w:rsidR="00F75CE4" w:rsidRPr="00AB781B" w:rsidRDefault="00F75CE4" w:rsidP="009F018E">
      <w:pPr>
        <w:pStyle w:val="ListParagraph"/>
        <w:numPr>
          <w:ilvl w:val="0"/>
          <w:numId w:val="2"/>
        </w:numPr>
      </w:pPr>
      <w:r w:rsidRPr="00AB781B">
        <w:t>where the Regulator gives notice of a decision that a GMO may pose a significant risk that a second round of public consultation be required on any amendments that the Regulator makes to the RARMP after the initial round of public consultation currently required under section 52. This additional consultation period should be 20 working days.</w:t>
      </w:r>
    </w:p>
    <w:p w14:paraId="59DB0125" w14:textId="77777777" w:rsidR="00F75CE4" w:rsidRPr="00694EF4" w:rsidRDefault="00F75CE4" w:rsidP="00FE154A">
      <w:pPr>
        <w:pStyle w:val="Heading3"/>
      </w:pPr>
      <w:r w:rsidRPr="00694EF4">
        <w:lastRenderedPageBreak/>
        <w:t>Recommendation 5.6 (</w:t>
      </w:r>
      <w:proofErr w:type="spellStart"/>
      <w:r w:rsidRPr="00694EF4">
        <w:t>ToR</w:t>
      </w:r>
      <w:proofErr w:type="spellEnd"/>
      <w:r w:rsidRPr="00694EF4">
        <w:t xml:space="preserve"> 4):</w:t>
      </w:r>
    </w:p>
    <w:p w14:paraId="41C7DE14" w14:textId="77777777" w:rsidR="00F75CE4" w:rsidRPr="00694EF4" w:rsidRDefault="00F75CE4" w:rsidP="00AB781B">
      <w:r w:rsidRPr="00AB781B">
        <w:t>The</w:t>
      </w:r>
      <w:r w:rsidRPr="00694EF4">
        <w:t xml:space="preserve"> Review recommends that the DIR category be split to distinguish between field trial and commercial release licences.</w:t>
      </w:r>
    </w:p>
    <w:p w14:paraId="2B9F85DA" w14:textId="77777777" w:rsidR="00F75CE4" w:rsidRPr="00694EF4" w:rsidRDefault="00F75CE4" w:rsidP="00FE154A">
      <w:pPr>
        <w:pStyle w:val="Heading3"/>
      </w:pPr>
      <w:r w:rsidRPr="00694EF4">
        <w:t>Recommendation 5.7 (</w:t>
      </w:r>
      <w:proofErr w:type="spellStart"/>
      <w:r w:rsidRPr="00694EF4">
        <w:t>ToR</w:t>
      </w:r>
      <w:proofErr w:type="spellEnd"/>
      <w:r w:rsidRPr="00694EF4">
        <w:t xml:space="preserve"> 4):</w:t>
      </w:r>
    </w:p>
    <w:p w14:paraId="21DEB4D8" w14:textId="77777777" w:rsidR="00F75CE4" w:rsidRPr="00694EF4" w:rsidRDefault="00F75CE4" w:rsidP="00AB781B">
      <w:r w:rsidRPr="00694EF4">
        <w:t>The Review recommends that DIR field trial licences be subject to a statutory time frame of 150 working days or 170 working days for a GMO that the Regulator assesses may pose a significant risk.</w:t>
      </w:r>
    </w:p>
    <w:p w14:paraId="7BAD0160" w14:textId="77777777" w:rsidR="00F75CE4" w:rsidRPr="00694EF4" w:rsidRDefault="00F75CE4" w:rsidP="00FE154A">
      <w:pPr>
        <w:pStyle w:val="Heading3"/>
      </w:pPr>
      <w:r w:rsidRPr="00694EF4">
        <w:t>Recommendation 5.8 (</w:t>
      </w:r>
      <w:proofErr w:type="spellStart"/>
      <w:r w:rsidRPr="00694EF4">
        <w:t>ToR</w:t>
      </w:r>
      <w:proofErr w:type="spellEnd"/>
      <w:r w:rsidRPr="00694EF4">
        <w:t xml:space="preserve"> 4):</w:t>
      </w:r>
    </w:p>
    <w:p w14:paraId="371AA81A" w14:textId="77777777" w:rsidR="00F75CE4" w:rsidRPr="00694EF4" w:rsidRDefault="00F75CE4" w:rsidP="00AB781B">
      <w:r w:rsidRPr="00694EF4">
        <w:t xml:space="preserve">The </w:t>
      </w:r>
      <w:r w:rsidRPr="00AB781B">
        <w:t>Review</w:t>
      </w:r>
      <w:r w:rsidRPr="00694EF4">
        <w:t xml:space="preserve"> recommends that the statutory time frame for commercial DIR licences be extended to 255 working days (this is consistent with other relevant regulatory systems) to ensure that the Regulator has adequate time for assessment and public consultation.</w:t>
      </w:r>
    </w:p>
    <w:p w14:paraId="14AFBA66" w14:textId="77777777" w:rsidR="00F75CE4" w:rsidRPr="00694EF4" w:rsidRDefault="00F75CE4" w:rsidP="00FE154A">
      <w:pPr>
        <w:pStyle w:val="Heading3"/>
      </w:pPr>
      <w:r w:rsidRPr="00694EF4">
        <w:t>Recommendation 5.9 (</w:t>
      </w:r>
      <w:proofErr w:type="spellStart"/>
      <w:r w:rsidRPr="00694EF4">
        <w:t>ToR</w:t>
      </w:r>
      <w:proofErr w:type="spellEnd"/>
      <w:r w:rsidRPr="00694EF4">
        <w:t xml:space="preserve"> 4):</w:t>
      </w:r>
    </w:p>
    <w:p w14:paraId="348EA370" w14:textId="77777777" w:rsidR="00F75CE4" w:rsidRPr="00694EF4" w:rsidRDefault="00F75CE4" w:rsidP="00AB781B">
      <w:r w:rsidRPr="00694EF4">
        <w:t xml:space="preserve">The Review recommends that a 90 </w:t>
      </w:r>
      <w:r w:rsidRPr="00AB781B">
        <w:t>working</w:t>
      </w:r>
      <w:r w:rsidRPr="00694EF4">
        <w:t xml:space="preserve"> day statutory time frame be applied to variations for licences and there be an explicit power to allow a licence-holder to apply for a variation.</w:t>
      </w:r>
    </w:p>
    <w:p w14:paraId="5F20C4FF" w14:textId="77777777" w:rsidR="00F75CE4" w:rsidRPr="00694EF4" w:rsidRDefault="00F75CE4" w:rsidP="00AB781B">
      <w:r w:rsidRPr="00694EF4">
        <w:t xml:space="preserve">The restrictions on a </w:t>
      </w:r>
      <w:r w:rsidRPr="00AB781B">
        <w:t>variation</w:t>
      </w:r>
      <w:r w:rsidRPr="00694EF4">
        <w:t xml:space="preserve"> should be that:</w:t>
      </w:r>
    </w:p>
    <w:p w14:paraId="07324527" w14:textId="45594B2F" w:rsidR="00F75CE4" w:rsidRPr="00AB781B" w:rsidRDefault="00F75CE4" w:rsidP="009F018E">
      <w:pPr>
        <w:pStyle w:val="ListParagraph"/>
        <w:numPr>
          <w:ilvl w:val="0"/>
          <w:numId w:val="3"/>
        </w:numPr>
      </w:pPr>
      <w:r w:rsidRPr="00AB781B">
        <w:t xml:space="preserve">a variation cannot turn a DNIR into a </w:t>
      </w:r>
      <w:proofErr w:type="gramStart"/>
      <w:r w:rsidRPr="00AB781B">
        <w:t>DIR;</w:t>
      </w:r>
      <w:proofErr w:type="gramEnd"/>
    </w:p>
    <w:p w14:paraId="2E93ACD4" w14:textId="36D226F9" w:rsidR="00F75CE4" w:rsidRPr="00AB781B" w:rsidRDefault="00F75CE4" w:rsidP="009F018E">
      <w:pPr>
        <w:pStyle w:val="ListParagraph"/>
        <w:numPr>
          <w:ilvl w:val="0"/>
          <w:numId w:val="3"/>
        </w:numPr>
      </w:pPr>
      <w:r w:rsidRPr="00AB781B">
        <w:t xml:space="preserve">a variation cannot turn a field trial into a commercial </w:t>
      </w:r>
      <w:proofErr w:type="gramStart"/>
      <w:r w:rsidRPr="00AB781B">
        <w:t>release;</w:t>
      </w:r>
      <w:proofErr w:type="gramEnd"/>
    </w:p>
    <w:p w14:paraId="725A1BAD" w14:textId="4ED53ADE" w:rsidR="00F75CE4" w:rsidRPr="00AB781B" w:rsidRDefault="00F75CE4" w:rsidP="009F018E">
      <w:pPr>
        <w:pStyle w:val="ListParagraph"/>
        <w:numPr>
          <w:ilvl w:val="0"/>
          <w:numId w:val="3"/>
        </w:numPr>
      </w:pPr>
      <w:r w:rsidRPr="00AB781B">
        <w:t xml:space="preserve">the variation must be able to be assessed under the original </w:t>
      </w:r>
      <w:proofErr w:type="gramStart"/>
      <w:r w:rsidRPr="00AB781B">
        <w:t>RARMP;</w:t>
      </w:r>
      <w:proofErr w:type="gramEnd"/>
    </w:p>
    <w:p w14:paraId="05E4B3D0" w14:textId="1F71F550" w:rsidR="00F75CE4" w:rsidRPr="00AB781B" w:rsidRDefault="00F75CE4" w:rsidP="009F018E">
      <w:pPr>
        <w:pStyle w:val="ListParagraph"/>
        <w:numPr>
          <w:ilvl w:val="0"/>
          <w:numId w:val="3"/>
        </w:numPr>
      </w:pPr>
      <w:r w:rsidRPr="00AB781B">
        <w:t>for a variation involving a new location of the field trial it can only be approved where the Regulator is satisfied that appropriate local councils have been consulted; and</w:t>
      </w:r>
    </w:p>
    <w:p w14:paraId="31D2DEB2" w14:textId="6AB43A80" w:rsidR="00F75CE4" w:rsidRPr="00AB781B" w:rsidRDefault="00F75CE4" w:rsidP="009F018E">
      <w:pPr>
        <w:pStyle w:val="ListParagraph"/>
        <w:numPr>
          <w:ilvl w:val="0"/>
          <w:numId w:val="3"/>
        </w:numPr>
      </w:pPr>
      <w:r w:rsidRPr="00AB781B">
        <w:t>the Act should permit the regulations to prescribe other limitations.</w:t>
      </w:r>
    </w:p>
    <w:p w14:paraId="01B62BFC" w14:textId="77777777" w:rsidR="00F75CE4" w:rsidRPr="00694EF4" w:rsidRDefault="00F75CE4" w:rsidP="00FE154A">
      <w:pPr>
        <w:pStyle w:val="Heading3"/>
      </w:pPr>
      <w:r w:rsidRPr="00694EF4">
        <w:t>Recommendation 5.10 (</w:t>
      </w:r>
      <w:proofErr w:type="spellStart"/>
      <w:r w:rsidRPr="00694EF4">
        <w:t>ToR</w:t>
      </w:r>
      <w:proofErr w:type="spellEnd"/>
      <w:r w:rsidRPr="00694EF4">
        <w:t xml:space="preserve"> 5):</w:t>
      </w:r>
    </w:p>
    <w:p w14:paraId="44C20371" w14:textId="77777777" w:rsidR="00F75CE4" w:rsidRPr="00694EF4" w:rsidRDefault="00F75CE4" w:rsidP="00AB781B">
      <w:r w:rsidRPr="00694EF4">
        <w:t xml:space="preserve">The Review </w:t>
      </w:r>
      <w:r w:rsidRPr="00AB781B">
        <w:t>recommends</w:t>
      </w:r>
      <w:r w:rsidRPr="00694EF4">
        <w:t xml:space="preserve"> that the Act be amended so that the Regulator has the power to direct a licence-holder, or a person covered by a licence, if she believes they are not complying with the Act or the Regulations to take reasonable steps to comply with the Act or Regulations.</w:t>
      </w:r>
    </w:p>
    <w:p w14:paraId="620AD5ED" w14:textId="77777777" w:rsidR="00F75CE4" w:rsidRPr="00694EF4" w:rsidRDefault="00F75CE4" w:rsidP="00FE154A">
      <w:pPr>
        <w:pStyle w:val="Heading3"/>
      </w:pPr>
      <w:r w:rsidRPr="00694EF4">
        <w:t>Recommendation 5.11 (</w:t>
      </w:r>
      <w:proofErr w:type="spellStart"/>
      <w:r w:rsidRPr="00694EF4">
        <w:t>ToR</w:t>
      </w:r>
      <w:proofErr w:type="spellEnd"/>
      <w:r w:rsidRPr="00694EF4">
        <w:t xml:space="preserve"> 5):</w:t>
      </w:r>
    </w:p>
    <w:p w14:paraId="54BDC7B4" w14:textId="77777777" w:rsidR="00F75CE4" w:rsidRPr="00694EF4" w:rsidRDefault="00F75CE4" w:rsidP="00AB781B">
      <w:r w:rsidRPr="00694EF4">
        <w:t>The Review recommends amending the Act to allow the Regulator to grant a temporary permit to persons who find themselves inadvertently dealing with an unlicensed GMO for the purpose of disposing of the GMO in a manner which protects health and safety of people and the environment.</w:t>
      </w:r>
    </w:p>
    <w:p w14:paraId="5CBE1E03" w14:textId="0AA348BB" w:rsidR="00F75CE4" w:rsidRPr="00694EF4" w:rsidRDefault="00F75CE4" w:rsidP="00FE154A">
      <w:pPr>
        <w:pStyle w:val="Heading2"/>
      </w:pPr>
      <w:bookmarkStart w:id="17" w:name="_Toc95326251"/>
      <w:r w:rsidRPr="00694EF4">
        <w:t>Chapter Six: Regulatory Burden</w:t>
      </w:r>
      <w:r w:rsidR="006221B5">
        <w:t xml:space="preserve"> </w:t>
      </w:r>
      <w:r w:rsidRPr="00694EF4">
        <w:t>(Terms of Reference 6 and 7)</w:t>
      </w:r>
      <w:bookmarkEnd w:id="17"/>
    </w:p>
    <w:p w14:paraId="04922ED0" w14:textId="77777777" w:rsidR="00F75CE4" w:rsidRPr="00694EF4" w:rsidRDefault="00F75CE4" w:rsidP="001212B0">
      <w:pPr>
        <w:shd w:val="clear" w:color="auto" w:fill="E2EFD9" w:themeFill="accent6" w:themeFillTint="33"/>
      </w:pPr>
      <w:r w:rsidRPr="00694EF4">
        <w:t xml:space="preserve">6. </w:t>
      </w:r>
      <w:r w:rsidRPr="00AB781B">
        <w:t>Examine</w:t>
      </w:r>
      <w:r w:rsidRPr="00694EF4">
        <w:t xml:space="preserve"> whether compliance and administrative costs, including information requirements, for organisations working in gene technology are reasonable and justified compared to benefits achieved and possible alternatives to legislation.</w:t>
      </w:r>
    </w:p>
    <w:p w14:paraId="771A9B1B" w14:textId="77777777" w:rsidR="00F75CE4" w:rsidRPr="00694EF4" w:rsidRDefault="00F75CE4" w:rsidP="001212B0">
      <w:pPr>
        <w:shd w:val="clear" w:color="auto" w:fill="E2EFD9" w:themeFill="accent6" w:themeFillTint="33"/>
      </w:pPr>
      <w:r w:rsidRPr="00694EF4">
        <w:t xml:space="preserve">7. Review the system of </w:t>
      </w:r>
      <w:r w:rsidRPr="00AB781B">
        <w:t>approvals</w:t>
      </w:r>
      <w:r w:rsidRPr="00694EF4">
        <w:t xml:space="preserve"> and the application of regulatory requirements commensurate to the level of risk.</w:t>
      </w:r>
    </w:p>
    <w:p w14:paraId="427974F2" w14:textId="77777777" w:rsidR="00003951" w:rsidRPr="00694EF4" w:rsidRDefault="00003951" w:rsidP="00FE154A">
      <w:pPr>
        <w:pStyle w:val="Heading3"/>
      </w:pPr>
      <w:r w:rsidRPr="00694EF4">
        <w:lastRenderedPageBreak/>
        <w:t>Recommendation 6.1:</w:t>
      </w:r>
    </w:p>
    <w:p w14:paraId="48883517" w14:textId="77777777" w:rsidR="00003951" w:rsidRPr="00694EF4" w:rsidRDefault="00003951" w:rsidP="00AB781B">
      <w:r w:rsidRPr="00694EF4">
        <w:t xml:space="preserve">The Review recommends that there </w:t>
      </w:r>
      <w:r w:rsidRPr="00AB781B">
        <w:t>should</w:t>
      </w:r>
      <w:r w:rsidRPr="00694EF4">
        <w:t xml:space="preserve"> be no legislative requirements on exempt dealings beyond listing in the Regulations. The Regulator should undertake regular reviews of the listing to ensure it remains current.</w:t>
      </w:r>
    </w:p>
    <w:p w14:paraId="68DEC2E2" w14:textId="77777777" w:rsidR="00003951" w:rsidRPr="00694EF4" w:rsidRDefault="00003951" w:rsidP="00FE154A">
      <w:pPr>
        <w:pStyle w:val="Heading3"/>
      </w:pPr>
      <w:r w:rsidRPr="00694EF4">
        <w:t>Recommendation 6.2:</w:t>
      </w:r>
    </w:p>
    <w:p w14:paraId="44E75A1A" w14:textId="77777777" w:rsidR="00003951" w:rsidRPr="00694EF4" w:rsidRDefault="00003951" w:rsidP="00AB781B">
      <w:r w:rsidRPr="00694EF4">
        <w:t>The Review recommends that the requirement to notify NLRDs to the Regulator within 14 days be removed and replaced with a requirement to include a report of all NLRDs conducted in the last 12 months in the accredited organisation’s annual report, and to maintain an up-to-date list for inspection and auditing purposes.</w:t>
      </w:r>
    </w:p>
    <w:p w14:paraId="7A76657D" w14:textId="77777777" w:rsidR="00003951" w:rsidRPr="00694EF4" w:rsidRDefault="00003951" w:rsidP="00FE154A">
      <w:pPr>
        <w:pStyle w:val="Heading3"/>
      </w:pPr>
      <w:r w:rsidRPr="00694EF4">
        <w:t>Recommendation 6.3:</w:t>
      </w:r>
    </w:p>
    <w:p w14:paraId="2B206A11" w14:textId="77777777" w:rsidR="00003951" w:rsidRPr="00694EF4" w:rsidRDefault="00003951" w:rsidP="00AB781B">
      <w:r w:rsidRPr="00694EF4">
        <w:t xml:space="preserve">The Review recommends that the OGTR </w:t>
      </w:r>
      <w:r w:rsidRPr="00AB781B">
        <w:t>certification</w:t>
      </w:r>
      <w:r w:rsidRPr="00694EF4">
        <w:t xml:space="preserve"> guidelines and the AQIS guidelines be harmonised as far as possible and that the OGTR and AQIS establish a system of single audits to meet the needs of both organisations as soon as practicable.</w:t>
      </w:r>
    </w:p>
    <w:p w14:paraId="17458CBC" w14:textId="77777777" w:rsidR="00003951" w:rsidRPr="00694EF4" w:rsidRDefault="00003951" w:rsidP="00FE154A">
      <w:pPr>
        <w:pStyle w:val="Heading3"/>
      </w:pPr>
      <w:r w:rsidRPr="00694EF4">
        <w:t>Recommendation 6.4:</w:t>
      </w:r>
    </w:p>
    <w:p w14:paraId="6234C5A9" w14:textId="195BF71F" w:rsidR="00003951" w:rsidRPr="00694EF4" w:rsidRDefault="00003951" w:rsidP="00AB781B">
      <w:r w:rsidRPr="00694EF4">
        <w:t xml:space="preserve">The Review recommends that the </w:t>
      </w:r>
      <w:r w:rsidRPr="00AB781B">
        <w:t>harmonisation</w:t>
      </w:r>
      <w:r w:rsidRPr="00694EF4">
        <w:t xml:space="preserve"> exercise be used as an opportunity to ensure that the outcome focused language in the certification guidelines is used to the maximum extent possible.</w:t>
      </w:r>
    </w:p>
    <w:p w14:paraId="32E5C2E7" w14:textId="77777777" w:rsidR="00003951" w:rsidRPr="00694EF4" w:rsidRDefault="00003951" w:rsidP="00FE154A">
      <w:pPr>
        <w:pStyle w:val="Heading3"/>
      </w:pPr>
      <w:r w:rsidRPr="00694EF4">
        <w:t>Recommendation 6.5:</w:t>
      </w:r>
    </w:p>
    <w:p w14:paraId="3372F13C" w14:textId="77777777" w:rsidR="00003951" w:rsidRPr="00694EF4" w:rsidRDefault="00003951" w:rsidP="00AB781B">
      <w:r w:rsidRPr="00694EF4">
        <w:t xml:space="preserve">The Review recommends that the </w:t>
      </w:r>
      <w:r w:rsidRPr="00AB781B">
        <w:t>Regulator</w:t>
      </w:r>
      <w:r w:rsidRPr="00694EF4">
        <w:t xml:space="preserve"> develop information and guidance for accredited organisations on obtaining certification variations.</w:t>
      </w:r>
    </w:p>
    <w:p w14:paraId="3D61B2F6" w14:textId="77777777" w:rsidR="00003951" w:rsidRPr="00694EF4" w:rsidRDefault="00003951" w:rsidP="00FE154A">
      <w:pPr>
        <w:pStyle w:val="Heading3"/>
      </w:pPr>
      <w:r w:rsidRPr="00694EF4">
        <w:t>Recommendation 6.6:</w:t>
      </w:r>
    </w:p>
    <w:p w14:paraId="681B52F8" w14:textId="77777777" w:rsidR="00003951" w:rsidRPr="00694EF4" w:rsidRDefault="00003951" w:rsidP="00AB781B">
      <w:r w:rsidRPr="00694EF4">
        <w:t xml:space="preserve">The Review recommends the </w:t>
      </w:r>
      <w:r w:rsidRPr="00AB781B">
        <w:t>removal</w:t>
      </w:r>
      <w:r w:rsidRPr="00694EF4">
        <w:t xml:space="preserve"> of the requirement in the accreditation guidelines for the reporting of exempt dealings in the annual report of an accredited organisation.</w:t>
      </w:r>
    </w:p>
    <w:p w14:paraId="6AB3032F" w14:textId="22B38B14" w:rsidR="00F75CE4" w:rsidRPr="00694EF4" w:rsidRDefault="00003951" w:rsidP="00FE154A">
      <w:pPr>
        <w:pStyle w:val="Heading2"/>
      </w:pPr>
      <w:bookmarkStart w:id="18" w:name="_Toc95326252"/>
      <w:r w:rsidRPr="00694EF4">
        <w:t>Chapter Seven: Interface with Other Systems</w:t>
      </w:r>
      <w:r w:rsidR="006221B5">
        <w:t xml:space="preserve"> </w:t>
      </w:r>
      <w:r w:rsidRPr="00694EF4">
        <w:t>(Terms of Reference 8 and 9)</w:t>
      </w:r>
      <w:bookmarkEnd w:id="18"/>
    </w:p>
    <w:p w14:paraId="137EAC34" w14:textId="77777777" w:rsidR="00003951" w:rsidRPr="00694EF4" w:rsidRDefault="00003951" w:rsidP="00043CAA">
      <w:pPr>
        <w:shd w:val="clear" w:color="auto" w:fill="E2EFD9" w:themeFill="accent6" w:themeFillTint="33"/>
      </w:pPr>
      <w:r w:rsidRPr="00694EF4">
        <w:t xml:space="preserve">8. Examine the </w:t>
      </w:r>
      <w:r w:rsidRPr="00A10E23">
        <w:t>nationally</w:t>
      </w:r>
      <w:r w:rsidRPr="00694EF4">
        <w:t xml:space="preserve"> consistent scheme for gene technology regulation in Australia and identify any need for, and ways to achieve, improvements in its consistency, </w:t>
      </w:r>
      <w:proofErr w:type="gramStart"/>
      <w:r w:rsidRPr="00694EF4">
        <w:t>efficiency</w:t>
      </w:r>
      <w:proofErr w:type="gramEnd"/>
      <w:r w:rsidRPr="00694EF4">
        <w:t xml:space="preserve"> and coordination.</w:t>
      </w:r>
    </w:p>
    <w:p w14:paraId="7DA115A3" w14:textId="77777777" w:rsidR="00003951" w:rsidRPr="00694EF4" w:rsidRDefault="00003951" w:rsidP="00043CAA">
      <w:pPr>
        <w:shd w:val="clear" w:color="auto" w:fill="E2EFD9" w:themeFill="accent6" w:themeFillTint="33"/>
      </w:pPr>
      <w:r w:rsidRPr="00694EF4">
        <w:t xml:space="preserve">9. Examine the interface between the </w:t>
      </w:r>
      <w:r w:rsidRPr="00A10E23">
        <w:t>Act</w:t>
      </w:r>
      <w:r w:rsidRPr="00694EF4">
        <w:t xml:space="preserve"> and other Acts and schemes (either Australian Government or State and Territory) that regulate gene technology and gene technology products. Identify any discrepancies including regulatory gaps and areas needing consistency and harmonisation of provisions.</w:t>
      </w:r>
    </w:p>
    <w:p w14:paraId="40511708" w14:textId="77777777" w:rsidR="00003951" w:rsidRPr="00A10E23" w:rsidRDefault="00003951" w:rsidP="00A10E23">
      <w:pPr>
        <w:rPr>
          <w:i/>
          <w:iCs/>
        </w:rPr>
      </w:pPr>
      <w:r w:rsidRPr="00A10E23">
        <w:rPr>
          <w:i/>
          <w:iCs/>
        </w:rPr>
        <w:t>(Note: recommendations in relation to harmonisation between AQIS and OGTR are dealt with under chapter 6 — Regulatory burden)</w:t>
      </w:r>
    </w:p>
    <w:p w14:paraId="097B958A" w14:textId="77777777" w:rsidR="00003951" w:rsidRPr="00694EF4" w:rsidRDefault="00003951" w:rsidP="00FE154A">
      <w:pPr>
        <w:pStyle w:val="Heading3"/>
      </w:pPr>
      <w:r w:rsidRPr="00694EF4">
        <w:t>Recommendation 7.1:</w:t>
      </w:r>
    </w:p>
    <w:p w14:paraId="65248861" w14:textId="77777777" w:rsidR="00003951" w:rsidRPr="00694EF4" w:rsidRDefault="00003951" w:rsidP="00A10E23">
      <w:r w:rsidRPr="00694EF4">
        <w:t xml:space="preserve">The Review </w:t>
      </w:r>
      <w:r w:rsidRPr="00A10E23">
        <w:t>recommends</w:t>
      </w:r>
      <w:r w:rsidRPr="00694EF4">
        <w:t xml:space="preserve"> the establishment of a regulators’ forum to exchange information between the prescribed agencies and the Regulator, to ensure that duplication is </w:t>
      </w:r>
      <w:proofErr w:type="gramStart"/>
      <w:r w:rsidRPr="00694EF4">
        <w:t>minimised</w:t>
      </w:r>
      <w:proofErr w:type="gramEnd"/>
      <w:r w:rsidRPr="00694EF4">
        <w:t xml:space="preserve"> and the systems work seamlessly between each other.</w:t>
      </w:r>
    </w:p>
    <w:p w14:paraId="60F03B39" w14:textId="77777777" w:rsidR="00003951" w:rsidRPr="00694EF4" w:rsidRDefault="00003951" w:rsidP="00FE154A">
      <w:pPr>
        <w:pStyle w:val="Heading3"/>
      </w:pPr>
      <w:r w:rsidRPr="00694EF4">
        <w:lastRenderedPageBreak/>
        <w:t>Recommendation 7.2:</w:t>
      </w:r>
    </w:p>
    <w:p w14:paraId="7B1CE381" w14:textId="77777777" w:rsidR="00003951" w:rsidRPr="00694EF4" w:rsidRDefault="00003951" w:rsidP="00A10E23">
      <w:r w:rsidRPr="00694EF4">
        <w:t xml:space="preserve">In the special case of Australian Standards </w:t>
      </w:r>
      <w:r w:rsidRPr="00A10E23">
        <w:t>that</w:t>
      </w:r>
      <w:r w:rsidRPr="00694EF4">
        <w:t xml:space="preserve"> apply to laboratory facilities, the Review recommends that the Regulator actively participates in every opportunity for review </w:t>
      </w:r>
      <w:proofErr w:type="gramStart"/>
      <w:r w:rsidRPr="00694EF4">
        <w:t>so as to</w:t>
      </w:r>
      <w:proofErr w:type="gramEnd"/>
      <w:r w:rsidRPr="00694EF4">
        <w:t xml:space="preserve"> align her requirements with those of Standards Australia.</w:t>
      </w:r>
    </w:p>
    <w:p w14:paraId="6DE85864" w14:textId="470B0A3F" w:rsidR="00003951" w:rsidRPr="00694EF4" w:rsidRDefault="00003951" w:rsidP="00FE154A">
      <w:pPr>
        <w:pStyle w:val="Heading2"/>
      </w:pPr>
      <w:bookmarkStart w:id="19" w:name="_Toc95326253"/>
      <w:r w:rsidRPr="00694EF4">
        <w:t>Chapter Eight: Changing Circumstances</w:t>
      </w:r>
      <w:r w:rsidR="006221B5">
        <w:t xml:space="preserve"> </w:t>
      </w:r>
      <w:r w:rsidRPr="00694EF4">
        <w:t>(Term of Reference 10)</w:t>
      </w:r>
      <w:bookmarkEnd w:id="19"/>
    </w:p>
    <w:p w14:paraId="17F098F7" w14:textId="77777777" w:rsidR="00003951" w:rsidRPr="00694EF4" w:rsidRDefault="00003951" w:rsidP="00043CAA">
      <w:pPr>
        <w:shd w:val="clear" w:color="auto" w:fill="E2EFD9" w:themeFill="accent6" w:themeFillTint="33"/>
      </w:pPr>
      <w:r w:rsidRPr="00694EF4">
        <w:t xml:space="preserve">10. Examine emerging trends and international </w:t>
      </w:r>
      <w:r w:rsidRPr="00A10E23">
        <w:t>developments</w:t>
      </w:r>
      <w:r w:rsidRPr="00694EF4">
        <w:t xml:space="preserve"> in biotechnology and its regulation and whether the regulatory system stipulated by the Act is flexible enough to accommodate changing circumstances</w:t>
      </w:r>
    </w:p>
    <w:p w14:paraId="354D494F" w14:textId="77777777" w:rsidR="00003951" w:rsidRPr="00694EF4" w:rsidRDefault="00003951" w:rsidP="00FE154A">
      <w:pPr>
        <w:pStyle w:val="Heading3"/>
      </w:pPr>
      <w:r w:rsidRPr="00694EF4">
        <w:t>Recommendation 8.1:</w:t>
      </w:r>
    </w:p>
    <w:p w14:paraId="710232C3" w14:textId="77777777" w:rsidR="00003951" w:rsidRPr="00694EF4" w:rsidRDefault="00003951" w:rsidP="00A10E23">
      <w:r w:rsidRPr="00694EF4">
        <w:t xml:space="preserve">The Review </w:t>
      </w:r>
      <w:r w:rsidRPr="00A10E23">
        <w:t>recommends</w:t>
      </w:r>
      <w:r w:rsidRPr="00694EF4">
        <w:t xml:space="preserve"> the Act be reviewed in five years to ensure that it continues to accommodate emerging trends.</w:t>
      </w:r>
    </w:p>
    <w:p w14:paraId="63C55FBD" w14:textId="243C3967" w:rsidR="00003951" w:rsidRPr="00694EF4" w:rsidRDefault="00003951" w:rsidP="00FE154A">
      <w:pPr>
        <w:pStyle w:val="Heading2"/>
      </w:pPr>
      <w:bookmarkStart w:id="20" w:name="_Toc95326254"/>
      <w:r w:rsidRPr="00694EF4">
        <w:t>Chapter Nine: IGA Achieving its Aims</w:t>
      </w:r>
      <w:r w:rsidR="006221B5">
        <w:t xml:space="preserve"> </w:t>
      </w:r>
      <w:r w:rsidRPr="00694EF4">
        <w:t>(Term of Reference 12)</w:t>
      </w:r>
      <w:bookmarkEnd w:id="20"/>
    </w:p>
    <w:p w14:paraId="044FEC52" w14:textId="77777777" w:rsidR="00003951" w:rsidRPr="00694EF4" w:rsidRDefault="00003951" w:rsidP="00043CAA">
      <w:pPr>
        <w:shd w:val="clear" w:color="auto" w:fill="E2EFD9" w:themeFill="accent6" w:themeFillTint="33"/>
      </w:pPr>
      <w:r w:rsidRPr="00694EF4">
        <w:t xml:space="preserve">12. Investigate </w:t>
      </w:r>
      <w:r w:rsidRPr="00A10E23">
        <w:t>whether</w:t>
      </w:r>
      <w:r w:rsidRPr="00694EF4">
        <w:t xml:space="preserve"> the Inter-governmental Agreement on Gene Technology is achieving the aims listed in its Recitals</w:t>
      </w:r>
    </w:p>
    <w:p w14:paraId="226743D9" w14:textId="77777777" w:rsidR="00003951" w:rsidRPr="00694EF4" w:rsidRDefault="00003951" w:rsidP="00FE154A">
      <w:pPr>
        <w:pStyle w:val="Heading3"/>
      </w:pPr>
      <w:r w:rsidRPr="00694EF4">
        <w:t>Recommendation 9.1:</w:t>
      </w:r>
    </w:p>
    <w:p w14:paraId="6EA2ACC1" w14:textId="77777777" w:rsidR="00003951" w:rsidRPr="00694EF4" w:rsidRDefault="00003951" w:rsidP="00A10E23">
      <w:r w:rsidRPr="00694EF4">
        <w:t xml:space="preserve">The Review recommends that </w:t>
      </w:r>
      <w:r w:rsidRPr="00A10E23">
        <w:t>the</w:t>
      </w:r>
      <w:r w:rsidRPr="00694EF4">
        <w:t xml:space="preserve"> Commonwealth and States through the GTMC reconfirm their commitment to a nationally consistent scheme for gene technology, including a nationally consistent transparent approach to market considerations as soon as practicable.</w:t>
      </w:r>
    </w:p>
    <w:p w14:paraId="784DF401" w14:textId="77777777" w:rsidR="00003951" w:rsidRPr="00694EF4" w:rsidRDefault="00003951" w:rsidP="00FE154A">
      <w:pPr>
        <w:pStyle w:val="Heading3"/>
      </w:pPr>
      <w:r w:rsidRPr="00694EF4">
        <w:t>Recommendation 9.2:</w:t>
      </w:r>
    </w:p>
    <w:p w14:paraId="6196BFC6" w14:textId="77777777" w:rsidR="00003951" w:rsidRPr="00694EF4" w:rsidRDefault="00003951" w:rsidP="00A10E23">
      <w:r w:rsidRPr="00694EF4">
        <w:t xml:space="preserve">The Review recommends that the </w:t>
      </w:r>
      <w:r w:rsidRPr="00A10E23">
        <w:t>Commonwealth</w:t>
      </w:r>
      <w:r w:rsidRPr="00694EF4">
        <w:t xml:space="preserve"> and States work together to develop a national framework for co-existence for non-GM and GM crops to address market considerations.</w:t>
      </w:r>
    </w:p>
    <w:p w14:paraId="385CF556" w14:textId="77777777" w:rsidR="00003951" w:rsidRPr="00694EF4" w:rsidRDefault="00003951" w:rsidP="00FE154A">
      <w:pPr>
        <w:pStyle w:val="Heading3"/>
      </w:pPr>
      <w:r w:rsidRPr="00694EF4">
        <w:t>Recommendation 9.3:</w:t>
      </w:r>
    </w:p>
    <w:p w14:paraId="613CC546" w14:textId="77777777" w:rsidR="00003951" w:rsidRPr="00694EF4" w:rsidRDefault="00003951" w:rsidP="00A10E23">
      <w:r w:rsidRPr="00694EF4">
        <w:t xml:space="preserve">The Review recommends that the IGA </w:t>
      </w:r>
      <w:r w:rsidRPr="00A10E23">
        <w:t>be</w:t>
      </w:r>
      <w:r w:rsidRPr="00694EF4">
        <w:t xml:space="preserve"> amended to provide capacity for the </w:t>
      </w:r>
      <w:r w:rsidR="007115C7" w:rsidRPr="00694EF4">
        <w:t>C</w:t>
      </w:r>
      <w:r w:rsidRPr="00694EF4">
        <w:t>ommonwealth to declare a thing to be a GMO by regulation for a limited period</w:t>
      </w:r>
      <w:r w:rsidR="007115C7" w:rsidRPr="00694EF4">
        <w:t xml:space="preserve"> i</w:t>
      </w:r>
      <w:r w:rsidRPr="00694EF4">
        <w:t xml:space="preserve">n an </w:t>
      </w:r>
      <w:r w:rsidR="007115C7" w:rsidRPr="00694EF4">
        <w:t>emergency. This would be notified to GTMC in the fi</w:t>
      </w:r>
      <w:r w:rsidRPr="00694EF4">
        <w:t>rst instance. It is</w:t>
      </w:r>
      <w:r w:rsidR="007115C7" w:rsidRPr="00694EF4">
        <w:t xml:space="preserve"> </w:t>
      </w:r>
      <w:r w:rsidRPr="00694EF4">
        <w:t>recommended that GTMC must agree to the Regulations before they are submitted to</w:t>
      </w:r>
      <w:r w:rsidR="007115C7" w:rsidRPr="00694EF4">
        <w:t xml:space="preserve"> </w:t>
      </w:r>
      <w:r w:rsidRPr="00694EF4">
        <w:t>the Executive Council for renewal.</w:t>
      </w:r>
    </w:p>
    <w:p w14:paraId="1BEE01DE" w14:textId="77777777" w:rsidR="00003951" w:rsidRPr="00694EF4" w:rsidRDefault="00003951" w:rsidP="00043CAA">
      <w:pPr>
        <w:pStyle w:val="Heading3"/>
      </w:pPr>
      <w:r w:rsidRPr="00694EF4">
        <w:t>Note: Changes to the Legislation (Term of Reference 11)</w:t>
      </w:r>
    </w:p>
    <w:p w14:paraId="34D99423" w14:textId="77777777" w:rsidR="007115C7" w:rsidRPr="00694EF4" w:rsidRDefault="00003951" w:rsidP="00A10E23">
      <w:r w:rsidRPr="00694EF4">
        <w:t xml:space="preserve">Suggested changes to the </w:t>
      </w:r>
      <w:r w:rsidRPr="00A10E23">
        <w:t>legislation</w:t>
      </w:r>
      <w:r w:rsidRPr="00694EF4">
        <w:t xml:space="preserve"> are included, where appropriate, in the above</w:t>
      </w:r>
      <w:r w:rsidR="007115C7" w:rsidRPr="00694EF4">
        <w:t xml:space="preserve"> </w:t>
      </w:r>
      <w:r w:rsidRPr="00694EF4">
        <w:t>recommendations.</w:t>
      </w:r>
    </w:p>
    <w:p w14:paraId="1A14DB5C" w14:textId="77777777" w:rsidR="007115C7" w:rsidRPr="00A10E23" w:rsidRDefault="007115C7" w:rsidP="00A10E23">
      <w:r w:rsidRPr="00A10E23">
        <w:br w:type="page"/>
      </w:r>
    </w:p>
    <w:p w14:paraId="2D300754" w14:textId="1E80FFFC" w:rsidR="00003951" w:rsidRPr="00717C2C" w:rsidRDefault="00717C2C" w:rsidP="00717C2C">
      <w:pPr>
        <w:pStyle w:val="Heading1"/>
      </w:pPr>
      <w:bookmarkStart w:id="21" w:name="_Toc95326255"/>
      <w:r w:rsidRPr="00717C2C">
        <w:lastRenderedPageBreak/>
        <w:t xml:space="preserve">Chapter 1: </w:t>
      </w:r>
      <w:r w:rsidR="007115C7" w:rsidRPr="00717C2C">
        <w:t>INTRODUCTION AND TERMS OF REFERENCE</w:t>
      </w:r>
      <w:bookmarkEnd w:id="21"/>
    </w:p>
    <w:p w14:paraId="61297721" w14:textId="77777777" w:rsidR="007115C7" w:rsidRPr="00694EF4" w:rsidRDefault="007115C7" w:rsidP="00A10E23">
      <w:r w:rsidRPr="00694EF4">
        <w:t xml:space="preserve">In May 2005 the </w:t>
      </w:r>
      <w:r w:rsidRPr="00A10E23">
        <w:t>GTMC</w:t>
      </w:r>
      <w:r w:rsidRPr="00694EF4">
        <w:t xml:space="preserve"> issued the following terms of reference for the Review:</w:t>
      </w:r>
    </w:p>
    <w:p w14:paraId="4BE2C7B7" w14:textId="77777777" w:rsidR="006221B5" w:rsidRDefault="006221B5" w:rsidP="006221B5">
      <w:r>
        <w:t xml:space="preserve">The Gene Technology Act 2000 (Commonwealth) (the Act) is the Australian Government’s component of the nationally consistent regulatory scheme for gene technology in Australia. The object of the Act is to protect the health and safety of people and the environment from risks posed by, or </w:t>
      </w:r>
      <w:proofErr w:type="gramStart"/>
      <w:r>
        <w:t>as a result of</w:t>
      </w:r>
      <w:proofErr w:type="gramEnd"/>
      <w:r>
        <w:t>, gene technology by identifying those risks and managing them by regulating certain dealings with genetically modified organisms (GMOs). The Act establishes a regulatory framework through which its object is to be achieved.</w:t>
      </w:r>
    </w:p>
    <w:p w14:paraId="56148212" w14:textId="77777777" w:rsidR="006221B5" w:rsidRDefault="006221B5" w:rsidP="006221B5">
      <w:r>
        <w:t>This framework provides for a precautionary approach and an efficient and effective system for the application of gene technologies that operates in conjunction with other Australian Government and State regulatory schemes relevant to GMOs and GM products.</w:t>
      </w:r>
    </w:p>
    <w:p w14:paraId="6BCED2BD" w14:textId="77777777" w:rsidR="006221B5" w:rsidRDefault="006221B5" w:rsidP="006221B5">
      <w:r>
        <w:t>Section 194 of the Act stipulates that the Ministerial Council for Gene Technology must cause an independent review of the operation of the Act, including the structure of the Office of the Gene Technology Regulator (OGTR), as soon as possible after the fourth anniversary of commencement of the Act.</w:t>
      </w:r>
    </w:p>
    <w:p w14:paraId="78779391" w14:textId="77777777" w:rsidR="006221B5" w:rsidRDefault="006221B5" w:rsidP="006221B5">
      <w:r>
        <w:t xml:space="preserve">The Act states that the review must be undertaken by people the Ministerial Council agrees possess appropriate </w:t>
      </w:r>
      <w:proofErr w:type="gramStart"/>
      <w:r>
        <w:t>qualifications, and</w:t>
      </w:r>
      <w:proofErr w:type="gramEnd"/>
      <w:r>
        <w:t xml:space="preserve"> include people who are not employed by the Commonwealth or a Commonwealth authority. The report of the review must be tabled in each House of the Parliament within 12 months after the fourth anniversary of the commencement of the Act.</w:t>
      </w:r>
    </w:p>
    <w:p w14:paraId="1E652C12" w14:textId="77777777" w:rsidR="006221B5" w:rsidRDefault="006221B5" w:rsidP="006221B5">
      <w:r>
        <w:t xml:space="preserve">In establishing this review to examine the operation of the Act, the Ministerial Council is aware of the Australian Government’s position on biotechnology, as outlined in the National Biotechnology Strategy: Consistent with safeguarding human health and ensuring environmental protection, that Australia capture the benefits of biotechnology for the Australian community, </w:t>
      </w:r>
      <w:proofErr w:type="gramStart"/>
      <w:r>
        <w:t>industry</w:t>
      </w:r>
      <w:proofErr w:type="gramEnd"/>
      <w:r>
        <w:t xml:space="preserve"> and the</w:t>
      </w:r>
      <w:r w:rsidRPr="00C53D20">
        <w:t xml:space="preserve"> environment.</w:t>
      </w:r>
    </w:p>
    <w:p w14:paraId="3C9FB7C6" w14:textId="77777777" w:rsidR="00FE154A" w:rsidRDefault="00FE154A" w:rsidP="00FE154A">
      <w:r>
        <w:t>The Ministerial Council is also aware that there are a range of concerns amongst stakeholders and the public regarding gene technology and its regulation in Australia.</w:t>
      </w:r>
    </w:p>
    <w:p w14:paraId="565A0676" w14:textId="77777777" w:rsidR="00FE154A" w:rsidRDefault="00FE154A" w:rsidP="00FE154A">
      <w:r>
        <w:t xml:space="preserve">Having </w:t>
      </w:r>
      <w:proofErr w:type="gramStart"/>
      <w:r>
        <w:t>particular regard</w:t>
      </w:r>
      <w:proofErr w:type="gramEnd"/>
      <w:r>
        <w:t xml:space="preserve"> to</w:t>
      </w:r>
    </w:p>
    <w:p w14:paraId="56B6CD69" w14:textId="77777777" w:rsidR="00FE154A" w:rsidRDefault="00FE154A" w:rsidP="00FE154A">
      <w:r>
        <w:t>a) The National Biotechnology Strategy,</w:t>
      </w:r>
    </w:p>
    <w:p w14:paraId="3DF3083E" w14:textId="77777777" w:rsidR="00FE154A" w:rsidRDefault="00FE154A" w:rsidP="00FE154A">
      <w:r>
        <w:t>b) the Senate Community Affairs Reference Committee Report on the Gene Technology Bill 2000,</w:t>
      </w:r>
    </w:p>
    <w:p w14:paraId="2F8FF6DC" w14:textId="77777777" w:rsidR="00FE154A" w:rsidRDefault="00FE154A" w:rsidP="00FE154A">
      <w:r>
        <w:t>c) the House of Representatives Committee on Primary Industries and Regional Services Report 2000, and</w:t>
      </w:r>
    </w:p>
    <w:p w14:paraId="70813445" w14:textId="1259DF07" w:rsidR="00FE154A" w:rsidRDefault="00FE154A" w:rsidP="00FE154A">
      <w:r>
        <w:t>d) the experience of the first 4 years of the operation of the Act, including the recent review of the Gene Technology Regulations 2001, and noting the object and regulatory framework set out in the Act, the Ministerial Council has established the following terms of reference for the review of the operation of Act:</w:t>
      </w:r>
    </w:p>
    <w:p w14:paraId="27BF3739" w14:textId="77777777" w:rsidR="00FE154A" w:rsidRPr="00A10E23" w:rsidRDefault="00FE154A" w:rsidP="00A10E23">
      <w:pPr>
        <w:pStyle w:val="Heading2"/>
      </w:pPr>
      <w:bookmarkStart w:id="22" w:name="_Toc95326256"/>
      <w:r w:rsidRPr="00A10E23">
        <w:lastRenderedPageBreak/>
        <w:t>Terms of Reference</w:t>
      </w:r>
      <w:bookmarkEnd w:id="22"/>
    </w:p>
    <w:p w14:paraId="6DB65ECB" w14:textId="77777777" w:rsidR="00FE154A" w:rsidRPr="00A10E23" w:rsidRDefault="00FE154A" w:rsidP="00A10E23">
      <w:pPr>
        <w:pStyle w:val="Heading3"/>
      </w:pPr>
      <w:r w:rsidRPr="00A10E23">
        <w:t>Scope of Act</w:t>
      </w:r>
    </w:p>
    <w:p w14:paraId="085F90D4" w14:textId="77777777" w:rsidR="00FE154A" w:rsidRPr="0000096C" w:rsidRDefault="00FE154A" w:rsidP="0029306E">
      <w:r w:rsidRPr="0000096C">
        <w:t xml:space="preserve">1. Review the scope of the Act to determine whether the </w:t>
      </w:r>
      <w:r w:rsidRPr="0029306E">
        <w:t>policy</w:t>
      </w:r>
      <w:r w:rsidRPr="0000096C">
        <w:t xml:space="preserve"> objectives remain valid; and consider other issues, technologies or organisms that may be included in the scope of the Act, including:</w:t>
      </w:r>
    </w:p>
    <w:p w14:paraId="5543CAE3" w14:textId="77777777" w:rsidR="00FE154A" w:rsidRPr="0000096C" w:rsidRDefault="00FE154A" w:rsidP="0000096C">
      <w:r w:rsidRPr="0000096C">
        <w:t>a) consideration of economic, marketing and trade, cultural and social impacts, and re-examine how ethical issues are considered</w:t>
      </w:r>
    </w:p>
    <w:p w14:paraId="24CB574F" w14:textId="77777777" w:rsidR="00FE154A" w:rsidRPr="0000096C" w:rsidRDefault="00FE154A" w:rsidP="0000096C">
      <w:r w:rsidRPr="0000096C">
        <w:t>b) the definitions in the Act, including of the environment, and the need for the definition of other terms, including health</w:t>
      </w:r>
    </w:p>
    <w:p w14:paraId="27E13A4E" w14:textId="77777777" w:rsidR="00FE154A" w:rsidRPr="0000096C" w:rsidRDefault="00FE154A" w:rsidP="0000096C">
      <w:r w:rsidRPr="0000096C">
        <w:t>c) consideration of the technologies and organisms covered by the Act</w:t>
      </w:r>
    </w:p>
    <w:p w14:paraId="06869C8E" w14:textId="33F9F69C" w:rsidR="00FE154A" w:rsidRDefault="00FE154A" w:rsidP="0000096C">
      <w:r w:rsidRPr="0000096C">
        <w:t xml:space="preserve">d) consideration of a trait </w:t>
      </w:r>
      <w:proofErr w:type="gramStart"/>
      <w:r w:rsidRPr="0000096C">
        <w:t>based</w:t>
      </w:r>
      <w:proofErr w:type="gramEnd"/>
      <w:r w:rsidRPr="0000096C">
        <w:t xml:space="preserve"> or novel organism based regulatory scope Act achieving objects</w:t>
      </w:r>
    </w:p>
    <w:p w14:paraId="17769105" w14:textId="16A7A95B" w:rsidR="00043CAA" w:rsidRPr="0000096C" w:rsidRDefault="00043CAA" w:rsidP="00043CAA">
      <w:pPr>
        <w:pStyle w:val="Heading3"/>
      </w:pPr>
      <w:r>
        <w:t>Act achieving objects</w:t>
      </w:r>
    </w:p>
    <w:p w14:paraId="75309B5F" w14:textId="77777777" w:rsidR="00FE154A" w:rsidRDefault="00FE154A" w:rsidP="00FE154A">
      <w:r>
        <w:t>2. Investigate whether the object of the Act is being achieved and whether the regulatory framework stipulated in section 4 of the Act is still appropriate.</w:t>
      </w:r>
    </w:p>
    <w:p w14:paraId="6632ED3F" w14:textId="77777777" w:rsidR="00FE154A" w:rsidRPr="0029306E" w:rsidRDefault="00FE154A" w:rsidP="0029306E">
      <w:pPr>
        <w:pStyle w:val="Heading3"/>
      </w:pPr>
      <w:r w:rsidRPr="0029306E">
        <w:t>Operation of the Act</w:t>
      </w:r>
    </w:p>
    <w:p w14:paraId="7B183457" w14:textId="77777777" w:rsidR="00FE154A" w:rsidRDefault="00FE154A" w:rsidP="00FE154A">
      <w:r>
        <w:t>3. Examine the structure and effectiveness of the OGTR.</w:t>
      </w:r>
    </w:p>
    <w:p w14:paraId="701ACFB9" w14:textId="1A70F949" w:rsidR="00FE154A" w:rsidRDefault="00FE154A" w:rsidP="00FE154A">
      <w:r>
        <w:t>4. Review the consultation provisions of the Act including:</w:t>
      </w:r>
    </w:p>
    <w:p w14:paraId="4F9FEE22" w14:textId="77777777" w:rsidR="00FE154A" w:rsidRDefault="00FE154A" w:rsidP="00FE154A">
      <w:r>
        <w:t>a) their effectiveness with respect to their costs and benefits, including the value of advice received, and the transparency and accountability they provide</w:t>
      </w:r>
    </w:p>
    <w:p w14:paraId="457F66FE" w14:textId="77777777" w:rsidR="00FE154A" w:rsidRDefault="00FE154A" w:rsidP="00FE154A">
      <w:r>
        <w:t>b) the functions and roles of the statutory advisory committees</w:t>
      </w:r>
    </w:p>
    <w:p w14:paraId="439EF38B" w14:textId="77777777" w:rsidR="00FE154A" w:rsidRDefault="00FE154A" w:rsidP="00FE154A">
      <w:r>
        <w:t>c) the statutory time frames for applications under the Act</w:t>
      </w:r>
    </w:p>
    <w:p w14:paraId="43F1EA19" w14:textId="6A9CF11A" w:rsidR="00FE154A" w:rsidRDefault="00FE154A" w:rsidP="00FE154A">
      <w:r>
        <w:t>d) the stakeholders included in consultations for various applications under the Act</w:t>
      </w:r>
    </w:p>
    <w:p w14:paraId="73445E7A" w14:textId="77777777" w:rsidR="001212B0" w:rsidRDefault="00FE154A" w:rsidP="00FE154A">
      <w:r>
        <w:t xml:space="preserve">5. Determine whether the powers of the Act allow enforcement of </w:t>
      </w:r>
      <w:proofErr w:type="gramStart"/>
      <w:r>
        <w:t>compliance</w:t>
      </w:r>
      <w:proofErr w:type="gramEnd"/>
      <w:r>
        <w:t xml:space="preserve"> which is effective and appropriate to the circumstances, including instances where GMOs may be detected that are present unintentionally.</w:t>
      </w:r>
    </w:p>
    <w:p w14:paraId="6CD69FCC" w14:textId="54A25930" w:rsidR="00FE154A" w:rsidRPr="00FE154A" w:rsidRDefault="00FE154A" w:rsidP="00FE154A">
      <w:pPr>
        <w:rPr>
          <w:rStyle w:val="Heading3Char"/>
        </w:rPr>
      </w:pPr>
      <w:r w:rsidRPr="00FE154A">
        <w:rPr>
          <w:rStyle w:val="Heading3Char"/>
        </w:rPr>
        <w:t>Regulatory Burden</w:t>
      </w:r>
    </w:p>
    <w:p w14:paraId="17ECCA37" w14:textId="77777777" w:rsidR="001212B0" w:rsidRDefault="00FE154A" w:rsidP="00FE154A">
      <w:r>
        <w:t>6. Examine whether compliance and administrative costs, including information requirements, for organisations working in gene technology are reasonable and justified compared to benefits achieved and possible alternatives to legislation.</w:t>
      </w:r>
    </w:p>
    <w:p w14:paraId="611DCFDC" w14:textId="7EA19562" w:rsidR="001212B0" w:rsidRDefault="00FE154A" w:rsidP="00FE154A">
      <w:r>
        <w:t>7. Review the system of approvals and the application of regulatory requirements commensurate to the level of risk.</w:t>
      </w:r>
    </w:p>
    <w:p w14:paraId="1F15C967" w14:textId="32F7A265" w:rsidR="00FE154A" w:rsidRPr="000610B5" w:rsidRDefault="00FE154A" w:rsidP="00043CAA">
      <w:pPr>
        <w:pStyle w:val="Heading3"/>
      </w:pPr>
      <w:r w:rsidRPr="000610B5">
        <w:t>Interface with other systems</w:t>
      </w:r>
    </w:p>
    <w:p w14:paraId="21DC25CC" w14:textId="7E721221" w:rsidR="00FE154A" w:rsidRDefault="00FE154A" w:rsidP="00FE154A">
      <w:r>
        <w:t xml:space="preserve">8. Examine the nationally consistent scheme for gene technology regulation in Australia and identify any need for, and ways to achieve, improvements in its consistency, </w:t>
      </w:r>
      <w:proofErr w:type="gramStart"/>
      <w:r>
        <w:t>efficiency</w:t>
      </w:r>
      <w:proofErr w:type="gramEnd"/>
      <w:r>
        <w:t xml:space="preserve"> and coordination.</w:t>
      </w:r>
    </w:p>
    <w:p w14:paraId="15A2D17D" w14:textId="77777777" w:rsidR="00FE154A" w:rsidRDefault="00FE154A" w:rsidP="00FE154A">
      <w:r>
        <w:t xml:space="preserve">9. Examine the interface between the Act and other Acts and schemes (either Australian Government or State and Territory) that regulate gene technology and gene technology </w:t>
      </w:r>
      <w:r>
        <w:lastRenderedPageBreak/>
        <w:t>products. Identify any discrepancies including regulatory gaps and areas needing consistency and harmonisation of provisions.</w:t>
      </w:r>
    </w:p>
    <w:p w14:paraId="6A40841D" w14:textId="77777777" w:rsidR="00FE154A" w:rsidRPr="001212B0" w:rsidRDefault="00FE154A" w:rsidP="001212B0">
      <w:pPr>
        <w:pStyle w:val="Heading3"/>
      </w:pPr>
      <w:r w:rsidRPr="001212B0">
        <w:t>Changing circumstances</w:t>
      </w:r>
    </w:p>
    <w:p w14:paraId="5EC317D2" w14:textId="77777777" w:rsidR="001212B0" w:rsidRDefault="00FE154A" w:rsidP="00FE154A">
      <w:r>
        <w:t>10. Examine emerging trends and international developments in biotechnology and its regulation and whether the regulatory system stipulated by the Act is flexible enough to accommodate changing circumstances.</w:t>
      </w:r>
    </w:p>
    <w:p w14:paraId="0D068752" w14:textId="5C6D0E1B" w:rsidR="00FE154A" w:rsidRPr="000610B5" w:rsidRDefault="00FE154A" w:rsidP="00043CAA">
      <w:pPr>
        <w:pStyle w:val="Heading3"/>
      </w:pPr>
      <w:r w:rsidRPr="000610B5">
        <w:t>Changes to the legislation</w:t>
      </w:r>
    </w:p>
    <w:p w14:paraId="4E82002C" w14:textId="50780ADC" w:rsidR="00FE154A" w:rsidRDefault="00FE154A" w:rsidP="00FE154A">
      <w:r>
        <w:t xml:space="preserve">11. Recommend amendments to the Act (including consideration of those recommendations made by State or Territory Parliamentary Committees), or alternatives to legislation, which improve the effectiveness, efficiency, fairness, </w:t>
      </w:r>
      <w:proofErr w:type="gramStart"/>
      <w:r>
        <w:t>timeliness</w:t>
      </w:r>
      <w:proofErr w:type="gramEnd"/>
      <w:r>
        <w:t xml:space="preserve"> and accessibility of the regulatory system.</w:t>
      </w:r>
    </w:p>
    <w:p w14:paraId="6C4D7857" w14:textId="77777777" w:rsidR="00FE154A" w:rsidRPr="00043CAA" w:rsidRDefault="00FE154A" w:rsidP="00043CAA">
      <w:pPr>
        <w:pStyle w:val="Heading3"/>
      </w:pPr>
      <w:r w:rsidRPr="00043CAA">
        <w:t>IGA achieving its aims</w:t>
      </w:r>
    </w:p>
    <w:p w14:paraId="730E9212" w14:textId="77777777" w:rsidR="00FE154A" w:rsidRDefault="00FE154A" w:rsidP="00FE154A">
      <w:r>
        <w:t>12. Investigate whether the Intergovernmental Agreement on Gene Technology is achieving the aims listed in its Recitals.</w:t>
      </w:r>
    </w:p>
    <w:p w14:paraId="60B09D3D" w14:textId="28457F74" w:rsidR="000D447B" w:rsidRPr="00FE154A" w:rsidRDefault="00FE154A" w:rsidP="00FE154A">
      <w:pPr>
        <w:rPr>
          <w:rFonts w:ascii="Times New Roman" w:hAnsi="Times New Roman"/>
        </w:rPr>
      </w:pPr>
      <w:r>
        <w:t xml:space="preserve">The persons undertaking the review are to advertise nationally, consult with key interest groups and affected parties, receive submissions, and </w:t>
      </w:r>
      <w:proofErr w:type="gramStart"/>
      <w:r>
        <w:t>take into account</w:t>
      </w:r>
      <w:proofErr w:type="gramEnd"/>
      <w:r>
        <w:t xml:space="preserve"> overseas experience. Those consulted should include State and Territory Governments, the Gene Technology Advisory Committees, the Australian Government </w:t>
      </w:r>
      <w:proofErr w:type="gramStart"/>
      <w:r>
        <w:t>authorities</w:t>
      </w:r>
      <w:proofErr w:type="gramEnd"/>
      <w:r>
        <w:t xml:space="preserve"> and agencies prescribed by the Gene Technology Regulations 2001, including the Environment Minister, as well as the public.</w:t>
      </w:r>
    </w:p>
    <w:p w14:paraId="728D12E9" w14:textId="1B38EEED" w:rsidR="00AE7D1A" w:rsidRPr="00043CAA" w:rsidRDefault="00AE7D1A" w:rsidP="00043CAA">
      <w:pPr>
        <w:pStyle w:val="Heading2"/>
      </w:pPr>
      <w:bookmarkStart w:id="23" w:name="_Toc95326257"/>
      <w:r w:rsidRPr="00043CAA">
        <w:t>Process</w:t>
      </w:r>
      <w:bookmarkEnd w:id="23"/>
    </w:p>
    <w:p w14:paraId="291B681C" w14:textId="77777777" w:rsidR="00AE7D1A" w:rsidRPr="00043CAA" w:rsidRDefault="00AE7D1A" w:rsidP="00043CAA">
      <w:pPr>
        <w:pStyle w:val="Heading3"/>
      </w:pPr>
      <w:r w:rsidRPr="00043CAA">
        <w:t>Call for submissions</w:t>
      </w:r>
    </w:p>
    <w:p w14:paraId="1B75D091" w14:textId="77777777" w:rsidR="00AE7D1A" w:rsidRPr="00043CAA" w:rsidRDefault="00AE7D1A" w:rsidP="00043CAA">
      <w:r w:rsidRPr="00043CAA">
        <w:t xml:space="preserve">The GTMC released the terms of reference for the review and some background information on the gene technology regulatory system when it made a call for submissions in May 2005. At this time, the GTMC also announced the appointment of an independent panel of three people, Ms Susan </w:t>
      </w:r>
      <w:proofErr w:type="spellStart"/>
      <w:r w:rsidRPr="00043CAA">
        <w:t>Timbs</w:t>
      </w:r>
      <w:proofErr w:type="spellEnd"/>
      <w:r w:rsidRPr="00043CAA">
        <w:t>,</w:t>
      </w:r>
    </w:p>
    <w:p w14:paraId="11CF0EB7" w14:textId="77777777" w:rsidR="00AE7D1A" w:rsidRPr="00043CAA" w:rsidRDefault="00AE7D1A" w:rsidP="00043CAA">
      <w:r w:rsidRPr="00043CAA">
        <w:t>Ms Kathryn Adams and Mr Murray Rogers, to conduct the review (see Appendix 1 for details of the panel members).</w:t>
      </w:r>
    </w:p>
    <w:p w14:paraId="4F743342" w14:textId="77777777" w:rsidR="00AE7D1A" w:rsidRPr="00043CAA" w:rsidRDefault="00AE7D1A" w:rsidP="00043CAA">
      <w:r w:rsidRPr="00043CAA">
        <w:t>Nearly 300 submissions were received (see Appendix 2 for a list of individuals and organisations that made submissions to the Review).</w:t>
      </w:r>
    </w:p>
    <w:p w14:paraId="37DF4E55" w14:textId="0D373D57" w:rsidR="00AE7D1A" w:rsidRPr="00043CAA" w:rsidRDefault="00AE7D1A" w:rsidP="00043CAA">
      <w:pPr>
        <w:pStyle w:val="Heading3"/>
      </w:pPr>
      <w:r w:rsidRPr="00043CAA">
        <w:t>Issues papers</w:t>
      </w:r>
    </w:p>
    <w:p w14:paraId="0CCCE72D" w14:textId="77777777" w:rsidR="00AE7D1A" w:rsidRPr="00043CAA" w:rsidRDefault="00AE7D1A" w:rsidP="00043CAA">
      <w:r w:rsidRPr="00043CAA">
        <w:t>The Review analys</w:t>
      </w:r>
      <w:r w:rsidR="00D71F78" w:rsidRPr="00043CAA">
        <w:t>ed the submissions and identifi</w:t>
      </w:r>
      <w:r w:rsidRPr="00043CAA">
        <w:t xml:space="preserve">ed </w:t>
      </w:r>
      <w:proofErr w:type="gramStart"/>
      <w:r w:rsidRPr="00043CAA">
        <w:t>a number of</w:t>
      </w:r>
      <w:proofErr w:type="gramEnd"/>
      <w:r w:rsidRPr="00043CAA">
        <w:t xml:space="preserve"> key issues raised</w:t>
      </w:r>
      <w:r w:rsidR="00D71F78" w:rsidRPr="00043CAA">
        <w:t xml:space="preserve"> </w:t>
      </w:r>
      <w:r w:rsidRPr="00043CAA">
        <w:t>in relation to the gene technology regulatory system. This led to the development</w:t>
      </w:r>
      <w:r w:rsidR="00D71F78" w:rsidRPr="00043CAA">
        <w:t xml:space="preserve"> of a series of fi</w:t>
      </w:r>
      <w:r w:rsidRPr="00043CAA">
        <w:t>ve issues papers, which were released in early October 2005. The</w:t>
      </w:r>
      <w:r w:rsidR="00D71F78" w:rsidRPr="00043CAA">
        <w:t xml:space="preserve"> </w:t>
      </w:r>
      <w:r w:rsidRPr="00043CAA">
        <w:t>issues papers provided a factual statement of how the legislation and regulatory</w:t>
      </w:r>
      <w:r w:rsidR="00D71F78" w:rsidRPr="00043CAA">
        <w:t xml:space="preserve"> </w:t>
      </w:r>
      <w:r w:rsidRPr="00043CAA">
        <w:t>arrangements work followed by some views that were indicative of the issues raised in</w:t>
      </w:r>
      <w:r w:rsidR="00D71F78" w:rsidRPr="00043CAA">
        <w:t xml:space="preserve"> </w:t>
      </w:r>
      <w:r w:rsidRPr="00043CAA">
        <w:t>the submissions. Extracts from some submissions were included in the issue papers to</w:t>
      </w:r>
      <w:r w:rsidR="00D71F78" w:rsidRPr="00043CAA">
        <w:t xml:space="preserve"> </w:t>
      </w:r>
      <w:r w:rsidRPr="00043CAA">
        <w:t>give an indication of the opinions held by different groups.</w:t>
      </w:r>
    </w:p>
    <w:p w14:paraId="2BCD6A16" w14:textId="77777777" w:rsidR="00AE7D1A" w:rsidRPr="00043CAA" w:rsidRDefault="00D71F78" w:rsidP="00043CAA">
      <w:r w:rsidRPr="00043CAA">
        <w:t>The fi</w:t>
      </w:r>
      <w:r w:rsidR="00AE7D1A" w:rsidRPr="00043CAA">
        <w:t>ve issues papers and the terms of reference they addressed were:</w:t>
      </w:r>
    </w:p>
    <w:tbl>
      <w:tblPr>
        <w:tblStyle w:val="TableGrid"/>
        <w:tblW w:w="0" w:type="auto"/>
        <w:tblLook w:val="06E0" w:firstRow="1" w:lastRow="1" w:firstColumn="1" w:lastColumn="0" w:noHBand="1" w:noVBand="1"/>
        <w:tblCaption w:val="The five issues papers and terms of reference"/>
        <w:tblDescription w:val="This table lists the five issues papers and their terms of reference for the Gene Technology Act 2000 "/>
      </w:tblPr>
      <w:tblGrid>
        <w:gridCol w:w="2689"/>
        <w:gridCol w:w="6327"/>
      </w:tblGrid>
      <w:tr w:rsidR="00E70AE3" w:rsidRPr="00297567" w14:paraId="4F61579D" w14:textId="77777777" w:rsidTr="00D03708">
        <w:trPr>
          <w:tblHeader/>
        </w:trPr>
        <w:tc>
          <w:tcPr>
            <w:tcW w:w="2689" w:type="dxa"/>
            <w:shd w:val="clear" w:color="auto" w:fill="0D0D0D" w:themeFill="text1" w:themeFillTint="F2"/>
          </w:tcPr>
          <w:p w14:paraId="026BA570" w14:textId="77777777" w:rsidR="00D71F78" w:rsidRPr="00297567" w:rsidRDefault="00D71F78" w:rsidP="00161702">
            <w:pPr>
              <w:pStyle w:val="Tableheader"/>
            </w:pPr>
            <w:r w:rsidRPr="00297567">
              <w:lastRenderedPageBreak/>
              <w:t xml:space="preserve">Issue paper </w:t>
            </w:r>
          </w:p>
        </w:tc>
        <w:tc>
          <w:tcPr>
            <w:tcW w:w="6327" w:type="dxa"/>
            <w:shd w:val="clear" w:color="auto" w:fill="0D0D0D" w:themeFill="text1" w:themeFillTint="F2"/>
          </w:tcPr>
          <w:p w14:paraId="76B66C30" w14:textId="77777777" w:rsidR="00D71F78" w:rsidRPr="00297567" w:rsidRDefault="00D71F78" w:rsidP="00161702">
            <w:pPr>
              <w:pStyle w:val="Tableheader"/>
            </w:pPr>
            <w:r w:rsidRPr="00297567">
              <w:t>Term of reference (</w:t>
            </w:r>
            <w:proofErr w:type="spellStart"/>
            <w:r w:rsidRPr="00297567">
              <w:t>ToR</w:t>
            </w:r>
            <w:proofErr w:type="spellEnd"/>
            <w:r w:rsidRPr="00297567">
              <w:t>)</w:t>
            </w:r>
          </w:p>
        </w:tc>
      </w:tr>
      <w:tr w:rsidR="00D71F78" w:rsidRPr="00694EF4" w14:paraId="103740E7" w14:textId="77777777" w:rsidTr="00E70AE3">
        <w:tc>
          <w:tcPr>
            <w:tcW w:w="2689" w:type="dxa"/>
          </w:tcPr>
          <w:p w14:paraId="646AFB46" w14:textId="77777777" w:rsidR="00D71F78" w:rsidRPr="00297567" w:rsidRDefault="00D71F78" w:rsidP="00297567">
            <w:proofErr w:type="gramStart"/>
            <w:r w:rsidRPr="00297567">
              <w:t>Issues</w:t>
            </w:r>
            <w:proofErr w:type="gramEnd"/>
            <w:r w:rsidRPr="00297567">
              <w:t xml:space="preserve"> paper 1:</w:t>
            </w:r>
          </w:p>
          <w:p w14:paraId="03B560A1" w14:textId="23E574C2" w:rsidR="00D71F78" w:rsidRPr="00297567" w:rsidRDefault="00D71F78" w:rsidP="00297567">
            <w:r w:rsidRPr="00297567">
              <w:t>Scope and</w:t>
            </w:r>
            <w:r w:rsidR="00EB2EAC" w:rsidRPr="00297567">
              <w:t xml:space="preserve"> </w:t>
            </w:r>
            <w:r w:rsidRPr="00297567">
              <w:t>efficacy of the</w:t>
            </w:r>
            <w:r w:rsidR="00297567" w:rsidRPr="00297567">
              <w:t xml:space="preserve"> </w:t>
            </w:r>
            <w:r w:rsidRPr="00297567">
              <w:t>Act</w:t>
            </w:r>
          </w:p>
        </w:tc>
        <w:tc>
          <w:tcPr>
            <w:tcW w:w="6327" w:type="dxa"/>
          </w:tcPr>
          <w:p w14:paraId="6CF1F016" w14:textId="6DE652A9" w:rsidR="00D71F78" w:rsidRPr="00297567" w:rsidRDefault="00D71F78" w:rsidP="00297567">
            <w:proofErr w:type="spellStart"/>
            <w:r w:rsidRPr="00297567">
              <w:t>ToR</w:t>
            </w:r>
            <w:proofErr w:type="spellEnd"/>
            <w:r w:rsidRPr="00297567">
              <w:t xml:space="preserve"> 1 — Review the scope of the Act to determine whether</w:t>
            </w:r>
            <w:r w:rsidR="00297567" w:rsidRPr="00297567">
              <w:t xml:space="preserve"> </w:t>
            </w:r>
            <w:r w:rsidRPr="00297567">
              <w:t>the policy objectives remain valid; and consider other issues,</w:t>
            </w:r>
            <w:r w:rsidR="00297567" w:rsidRPr="00297567">
              <w:t xml:space="preserve"> </w:t>
            </w:r>
            <w:r w:rsidRPr="00297567">
              <w:t>technologies or organisms that may be included in the scope of</w:t>
            </w:r>
            <w:r w:rsidR="00297567" w:rsidRPr="00297567">
              <w:t xml:space="preserve"> </w:t>
            </w:r>
            <w:r w:rsidRPr="00297567">
              <w:t xml:space="preserve">the </w:t>
            </w:r>
            <w:proofErr w:type="gramStart"/>
            <w:r w:rsidRPr="00297567">
              <w:t>Act;</w:t>
            </w:r>
            <w:proofErr w:type="gramEnd"/>
          </w:p>
          <w:p w14:paraId="189466C5" w14:textId="77777777" w:rsidR="00D71F78" w:rsidRPr="00297567" w:rsidRDefault="00D71F78" w:rsidP="00297567">
            <w:proofErr w:type="spellStart"/>
            <w:r w:rsidRPr="00297567">
              <w:t>ToR</w:t>
            </w:r>
            <w:proofErr w:type="spellEnd"/>
            <w:r w:rsidRPr="00297567">
              <w:t xml:space="preserve"> 2 — Investigate whether the object of the Act is being</w:t>
            </w:r>
            <w:r w:rsidR="00EB2EAC" w:rsidRPr="00297567">
              <w:t xml:space="preserve"> </w:t>
            </w:r>
            <w:r w:rsidRPr="00297567">
              <w:t>achieved and whether the regulatory framework stipulated in</w:t>
            </w:r>
            <w:r w:rsidR="00EB2EAC" w:rsidRPr="00297567">
              <w:t xml:space="preserve"> </w:t>
            </w:r>
            <w:r w:rsidRPr="00297567">
              <w:t>section 4 of the Act is still appropriate.</w:t>
            </w:r>
          </w:p>
        </w:tc>
      </w:tr>
      <w:tr w:rsidR="00D71F78" w:rsidRPr="00694EF4" w14:paraId="55641092" w14:textId="77777777" w:rsidTr="00E70AE3">
        <w:tc>
          <w:tcPr>
            <w:tcW w:w="2689" w:type="dxa"/>
          </w:tcPr>
          <w:p w14:paraId="32C18D46" w14:textId="77777777" w:rsidR="00D71F78" w:rsidRPr="00297567" w:rsidRDefault="00D71F78" w:rsidP="00297567">
            <w:proofErr w:type="gramStart"/>
            <w:r w:rsidRPr="00297567">
              <w:t>Issues</w:t>
            </w:r>
            <w:proofErr w:type="gramEnd"/>
            <w:r w:rsidRPr="00297567">
              <w:t xml:space="preserve"> paper 2:</w:t>
            </w:r>
          </w:p>
          <w:p w14:paraId="5A618630" w14:textId="51FCFE0F" w:rsidR="00D71F78" w:rsidRPr="00297567" w:rsidRDefault="00D71F78" w:rsidP="00297567">
            <w:r w:rsidRPr="00297567">
              <w:t>Operation of</w:t>
            </w:r>
            <w:r w:rsidR="00297567" w:rsidRPr="00297567">
              <w:t xml:space="preserve"> </w:t>
            </w:r>
            <w:r w:rsidRPr="00297567">
              <w:t>the Act</w:t>
            </w:r>
          </w:p>
        </w:tc>
        <w:tc>
          <w:tcPr>
            <w:tcW w:w="6327" w:type="dxa"/>
          </w:tcPr>
          <w:p w14:paraId="5C6D5FDC" w14:textId="26DFB514" w:rsidR="00D71F78" w:rsidRPr="00297567" w:rsidRDefault="00D71F78" w:rsidP="00297567">
            <w:proofErr w:type="spellStart"/>
            <w:r w:rsidRPr="00297567">
              <w:t>ToR</w:t>
            </w:r>
            <w:proofErr w:type="spellEnd"/>
            <w:r w:rsidRPr="00297567">
              <w:t xml:space="preserve"> 3 — Examine the structure and effectiveness of the OGTR</w:t>
            </w:r>
            <w:r w:rsidR="00297567" w:rsidRPr="00297567">
              <w:t xml:space="preserve"> </w:t>
            </w:r>
            <w:r w:rsidR="00EB2EAC" w:rsidRPr="00297567">
              <w:t>(Offi</w:t>
            </w:r>
            <w:r w:rsidRPr="00297567">
              <w:t>ce of the Gene Technology Regulator</w:t>
            </w:r>
            <w:proofErr w:type="gramStart"/>
            <w:r w:rsidRPr="00297567">
              <w:t>);</w:t>
            </w:r>
            <w:proofErr w:type="gramEnd"/>
          </w:p>
          <w:p w14:paraId="6B035BA7" w14:textId="77777777" w:rsidR="00D71F78" w:rsidRPr="00297567" w:rsidRDefault="00D71F78" w:rsidP="00297567">
            <w:proofErr w:type="spellStart"/>
            <w:r w:rsidRPr="00297567">
              <w:t>ToR</w:t>
            </w:r>
            <w:proofErr w:type="spellEnd"/>
            <w:r w:rsidRPr="00297567">
              <w:t xml:space="preserve"> 4 — Review the consultation provisions of the </w:t>
            </w:r>
            <w:proofErr w:type="gramStart"/>
            <w:r w:rsidRPr="00297567">
              <w:t>Act;</w:t>
            </w:r>
            <w:proofErr w:type="gramEnd"/>
          </w:p>
          <w:p w14:paraId="37A1CDE1" w14:textId="74C50155" w:rsidR="00D71F78" w:rsidRPr="00297567" w:rsidRDefault="00D71F78" w:rsidP="00297567">
            <w:proofErr w:type="spellStart"/>
            <w:r w:rsidRPr="00297567">
              <w:t>ToR</w:t>
            </w:r>
            <w:proofErr w:type="spellEnd"/>
            <w:r w:rsidRPr="00297567">
              <w:t xml:space="preserve"> 5 — Determine whether the powers of the Act allow</w:t>
            </w:r>
            <w:r w:rsidR="00297567" w:rsidRPr="00297567">
              <w:t xml:space="preserve"> </w:t>
            </w:r>
            <w:r w:rsidRPr="00297567">
              <w:t>enforcement of compliance which is effective and appropriate</w:t>
            </w:r>
            <w:r w:rsidR="00297567" w:rsidRPr="00297567">
              <w:t xml:space="preserve"> </w:t>
            </w:r>
            <w:r w:rsidRPr="00297567">
              <w:t>to the circumstances including instances where genetically</w:t>
            </w:r>
            <w:r w:rsidR="00EB2EAC" w:rsidRPr="00297567">
              <w:t xml:space="preserve"> </w:t>
            </w:r>
            <w:r w:rsidRPr="00297567">
              <w:t>modified organisms (GMOs) may be detected that are present</w:t>
            </w:r>
            <w:r w:rsidR="00EB2EAC" w:rsidRPr="00297567">
              <w:t xml:space="preserve"> </w:t>
            </w:r>
            <w:r w:rsidRPr="00297567">
              <w:t>unintentionally.</w:t>
            </w:r>
          </w:p>
        </w:tc>
      </w:tr>
      <w:tr w:rsidR="00EB2EAC" w:rsidRPr="00694EF4" w14:paraId="6AB9C201" w14:textId="77777777" w:rsidTr="00D03708">
        <w:trPr>
          <w:tblHeader/>
        </w:trPr>
        <w:tc>
          <w:tcPr>
            <w:tcW w:w="2689" w:type="dxa"/>
          </w:tcPr>
          <w:p w14:paraId="7B9D3654" w14:textId="77777777" w:rsidR="00EB2EAC" w:rsidRPr="00297567" w:rsidRDefault="00EB2EAC" w:rsidP="00297567">
            <w:proofErr w:type="gramStart"/>
            <w:r w:rsidRPr="00297567">
              <w:t>Issues</w:t>
            </w:r>
            <w:proofErr w:type="gramEnd"/>
            <w:r w:rsidRPr="00297567">
              <w:t xml:space="preserve"> paper 3:</w:t>
            </w:r>
          </w:p>
          <w:p w14:paraId="3594A24C" w14:textId="1B57FAEC" w:rsidR="00EB2EAC" w:rsidRPr="00297567" w:rsidRDefault="00EB2EAC" w:rsidP="00297567">
            <w:r w:rsidRPr="00297567">
              <w:t>Regulatory</w:t>
            </w:r>
            <w:r w:rsidR="00297567" w:rsidRPr="00297567">
              <w:t xml:space="preserve"> </w:t>
            </w:r>
            <w:r w:rsidRPr="00297567">
              <w:t>burden of the</w:t>
            </w:r>
            <w:r w:rsidR="00297567" w:rsidRPr="00297567">
              <w:t xml:space="preserve"> </w:t>
            </w:r>
            <w:r w:rsidRPr="00297567">
              <w:t>Act</w:t>
            </w:r>
          </w:p>
        </w:tc>
        <w:tc>
          <w:tcPr>
            <w:tcW w:w="6327" w:type="dxa"/>
          </w:tcPr>
          <w:p w14:paraId="15C6480A" w14:textId="3C5640C0" w:rsidR="00EB2EAC" w:rsidRPr="00297567" w:rsidRDefault="00EB2EAC" w:rsidP="00297567">
            <w:proofErr w:type="spellStart"/>
            <w:r w:rsidRPr="00297567">
              <w:t>ToR</w:t>
            </w:r>
            <w:proofErr w:type="spellEnd"/>
            <w:r w:rsidRPr="00297567">
              <w:t xml:space="preserve"> 6 — Examine whether compliance and administrative costs,</w:t>
            </w:r>
            <w:r w:rsidR="00297567" w:rsidRPr="00297567">
              <w:t xml:space="preserve"> </w:t>
            </w:r>
            <w:r w:rsidRPr="00297567">
              <w:t>including information requirements, for organisations working</w:t>
            </w:r>
            <w:r w:rsidR="00297567" w:rsidRPr="00297567">
              <w:t xml:space="preserve"> </w:t>
            </w:r>
            <w:r w:rsidRPr="00297567">
              <w:t xml:space="preserve">in gene technology are reasonable and </w:t>
            </w:r>
            <w:proofErr w:type="spellStart"/>
            <w:r w:rsidRPr="00297567">
              <w:t>justifi</w:t>
            </w:r>
            <w:proofErr w:type="spellEnd"/>
            <w:r w:rsidRPr="00297567">
              <w:t xml:space="preserve"> ed compared to</w:t>
            </w:r>
            <w:r w:rsidR="00297567" w:rsidRPr="00297567">
              <w:t xml:space="preserve"> </w:t>
            </w:r>
            <w:proofErr w:type="spellStart"/>
            <w:r w:rsidRPr="00297567">
              <w:t>benefi</w:t>
            </w:r>
            <w:proofErr w:type="spellEnd"/>
            <w:r w:rsidRPr="00297567">
              <w:t xml:space="preserve"> </w:t>
            </w:r>
            <w:proofErr w:type="spellStart"/>
            <w:r w:rsidRPr="00297567">
              <w:t>ts</w:t>
            </w:r>
            <w:proofErr w:type="spellEnd"/>
            <w:r w:rsidRPr="00297567">
              <w:t xml:space="preserve"> achieved and possible alternatives to </w:t>
            </w:r>
            <w:proofErr w:type="gramStart"/>
            <w:r w:rsidRPr="00297567">
              <w:t>legislation;</w:t>
            </w:r>
            <w:proofErr w:type="gramEnd"/>
          </w:p>
          <w:p w14:paraId="3EA212D8" w14:textId="70E91726" w:rsidR="00EB2EAC" w:rsidRPr="00297567" w:rsidRDefault="00EB2EAC" w:rsidP="00297567">
            <w:proofErr w:type="spellStart"/>
            <w:r w:rsidRPr="00297567">
              <w:t>ToR</w:t>
            </w:r>
            <w:proofErr w:type="spellEnd"/>
            <w:r w:rsidRPr="00297567">
              <w:t xml:space="preserve"> 7 — Review the system of approvals and the application of</w:t>
            </w:r>
            <w:r w:rsidR="00297567" w:rsidRPr="00297567">
              <w:t xml:space="preserve"> </w:t>
            </w:r>
            <w:r w:rsidRPr="00297567">
              <w:t>regulatory requirements commensurate to the level of risk.</w:t>
            </w:r>
          </w:p>
        </w:tc>
      </w:tr>
      <w:tr w:rsidR="00EB2EAC" w:rsidRPr="00694EF4" w14:paraId="74C88B09" w14:textId="77777777" w:rsidTr="00E70AE3">
        <w:tc>
          <w:tcPr>
            <w:tcW w:w="2689" w:type="dxa"/>
          </w:tcPr>
          <w:p w14:paraId="7354A2E3" w14:textId="77777777" w:rsidR="00EB2EAC" w:rsidRPr="00297567" w:rsidRDefault="00EB2EAC" w:rsidP="00297567">
            <w:proofErr w:type="gramStart"/>
            <w:r w:rsidRPr="00297567">
              <w:t>Issues</w:t>
            </w:r>
            <w:proofErr w:type="gramEnd"/>
            <w:r w:rsidRPr="00297567">
              <w:t xml:space="preserve"> paper 4:</w:t>
            </w:r>
          </w:p>
          <w:p w14:paraId="03663A69" w14:textId="2A0D5529" w:rsidR="00EB2EAC" w:rsidRPr="00297567" w:rsidRDefault="00EB2EAC" w:rsidP="00297567">
            <w:r w:rsidRPr="00297567">
              <w:t>The Act as</w:t>
            </w:r>
            <w:r w:rsidR="00297567" w:rsidRPr="00297567">
              <w:t xml:space="preserve"> </w:t>
            </w:r>
            <w:r w:rsidRPr="00297567">
              <w:t>part of a wider</w:t>
            </w:r>
            <w:r w:rsidR="00297567" w:rsidRPr="00297567">
              <w:t xml:space="preserve"> </w:t>
            </w:r>
            <w:r w:rsidRPr="00297567">
              <w:t>regulatory</w:t>
            </w:r>
            <w:r w:rsidR="00297567" w:rsidRPr="00297567">
              <w:t xml:space="preserve"> </w:t>
            </w:r>
            <w:r w:rsidRPr="00297567">
              <w:t>framework</w:t>
            </w:r>
          </w:p>
        </w:tc>
        <w:tc>
          <w:tcPr>
            <w:tcW w:w="6327" w:type="dxa"/>
          </w:tcPr>
          <w:p w14:paraId="2D7BAB81" w14:textId="559578AC" w:rsidR="00EB2EAC" w:rsidRPr="00297567" w:rsidRDefault="00EB2EAC" w:rsidP="00297567">
            <w:proofErr w:type="spellStart"/>
            <w:r w:rsidRPr="00297567">
              <w:t>ToR</w:t>
            </w:r>
            <w:proofErr w:type="spellEnd"/>
            <w:r w:rsidRPr="00297567">
              <w:t xml:space="preserve"> 8 — Examine the nationally consistent scheme for gene</w:t>
            </w:r>
            <w:r w:rsidR="00297567" w:rsidRPr="00297567">
              <w:t xml:space="preserve"> </w:t>
            </w:r>
            <w:r w:rsidRPr="00297567">
              <w:t>technology regulation in Australia and identify any need for, and</w:t>
            </w:r>
            <w:r w:rsidR="00297567" w:rsidRPr="00297567">
              <w:t xml:space="preserve"> </w:t>
            </w:r>
            <w:r w:rsidRPr="00297567">
              <w:t>ways to achieve, improvements in its consistency, efficiency and</w:t>
            </w:r>
            <w:r w:rsidR="00297567" w:rsidRPr="00297567">
              <w:t xml:space="preserve"> </w:t>
            </w:r>
            <w:proofErr w:type="gramStart"/>
            <w:r w:rsidRPr="00297567">
              <w:t>coordination;</w:t>
            </w:r>
            <w:proofErr w:type="gramEnd"/>
          </w:p>
          <w:p w14:paraId="63651365" w14:textId="791C1ED4" w:rsidR="00EB2EAC" w:rsidRPr="00297567" w:rsidRDefault="00EB2EAC" w:rsidP="00297567">
            <w:proofErr w:type="spellStart"/>
            <w:r w:rsidRPr="00297567">
              <w:t>ToR</w:t>
            </w:r>
            <w:proofErr w:type="spellEnd"/>
            <w:r w:rsidRPr="00297567">
              <w:t xml:space="preserve"> 9 — Examine the interface between the Act and other acts</w:t>
            </w:r>
            <w:r w:rsidR="00297567" w:rsidRPr="00297567">
              <w:t xml:space="preserve"> </w:t>
            </w:r>
            <w:r w:rsidRPr="00297567">
              <w:t>and schemes (either Australian Government or State and Territory) that regulate gene technology and gene technology products.</w:t>
            </w:r>
            <w:r w:rsidR="00297567" w:rsidRPr="00297567">
              <w:t xml:space="preserve"> </w:t>
            </w:r>
            <w:r w:rsidRPr="00297567">
              <w:t>Identify any discrepancies, including regulatory gaps and areas</w:t>
            </w:r>
            <w:r w:rsidR="00297567" w:rsidRPr="00297567">
              <w:t xml:space="preserve"> </w:t>
            </w:r>
            <w:r w:rsidRPr="00297567">
              <w:t xml:space="preserve">needing consistency and harmonisation of </w:t>
            </w:r>
            <w:proofErr w:type="gramStart"/>
            <w:r w:rsidRPr="00297567">
              <w:t>provisions;</w:t>
            </w:r>
            <w:proofErr w:type="gramEnd"/>
          </w:p>
          <w:p w14:paraId="37A5F584" w14:textId="77777777" w:rsidR="00EB2EAC" w:rsidRPr="00297567" w:rsidRDefault="00EB2EAC" w:rsidP="00297567">
            <w:proofErr w:type="spellStart"/>
            <w:r w:rsidRPr="00297567">
              <w:t>ToR</w:t>
            </w:r>
            <w:proofErr w:type="spellEnd"/>
            <w:r w:rsidRPr="00297567">
              <w:t xml:space="preserve"> 12 — Investigate whether the Intergovernmental Agreement on Gene Technology is achieving the aims listed in its Recitals.</w:t>
            </w:r>
          </w:p>
        </w:tc>
      </w:tr>
      <w:tr w:rsidR="00EB2EAC" w:rsidRPr="00694EF4" w14:paraId="0565B93C" w14:textId="77777777" w:rsidTr="00E70AE3">
        <w:tc>
          <w:tcPr>
            <w:tcW w:w="2689" w:type="dxa"/>
          </w:tcPr>
          <w:p w14:paraId="4C8AE06A" w14:textId="77777777" w:rsidR="00EB2EAC" w:rsidRPr="00297567" w:rsidRDefault="00EB2EAC" w:rsidP="00297567">
            <w:proofErr w:type="gramStart"/>
            <w:r w:rsidRPr="00297567">
              <w:t>Issues</w:t>
            </w:r>
            <w:proofErr w:type="gramEnd"/>
            <w:r w:rsidRPr="00297567">
              <w:t xml:space="preserve"> paper 5:</w:t>
            </w:r>
          </w:p>
          <w:p w14:paraId="791B9128" w14:textId="5C6882BA" w:rsidR="00EB2EAC" w:rsidRPr="00297567" w:rsidRDefault="00EB2EAC" w:rsidP="00297567">
            <w:r w:rsidRPr="00297567">
              <w:t>An international</w:t>
            </w:r>
            <w:r w:rsidR="00297567" w:rsidRPr="00297567">
              <w:t xml:space="preserve"> </w:t>
            </w:r>
            <w:r w:rsidRPr="00297567">
              <w:t>perspective</w:t>
            </w:r>
          </w:p>
        </w:tc>
        <w:tc>
          <w:tcPr>
            <w:tcW w:w="6327" w:type="dxa"/>
          </w:tcPr>
          <w:p w14:paraId="0D18A45A" w14:textId="1C2C8BEF" w:rsidR="00EB2EAC" w:rsidRPr="00297567" w:rsidRDefault="00EB2EAC" w:rsidP="00297567">
            <w:proofErr w:type="spellStart"/>
            <w:r w:rsidRPr="00297567">
              <w:t>ToR</w:t>
            </w:r>
            <w:proofErr w:type="spellEnd"/>
            <w:r w:rsidRPr="00297567">
              <w:t xml:space="preserve"> 10 — Examine emerging trends and international</w:t>
            </w:r>
            <w:r w:rsidR="00297567" w:rsidRPr="00297567">
              <w:t xml:space="preserve"> </w:t>
            </w:r>
            <w:r w:rsidRPr="00297567">
              <w:t>developments in biotechnology and its regulation and whether</w:t>
            </w:r>
            <w:r w:rsidR="00297567" w:rsidRPr="00297567">
              <w:t xml:space="preserve"> </w:t>
            </w:r>
            <w:r w:rsidRPr="00297567">
              <w:t>the regulatory system stipulated by the Act is flexible enough to accommodate changing circumstances.</w:t>
            </w:r>
          </w:p>
        </w:tc>
      </w:tr>
    </w:tbl>
    <w:p w14:paraId="093BAB63" w14:textId="77777777" w:rsidR="001C2139" w:rsidRPr="00297567" w:rsidRDefault="001C2139" w:rsidP="00297567">
      <w:pPr>
        <w:pStyle w:val="Heading3"/>
      </w:pPr>
      <w:r w:rsidRPr="00297567">
        <w:lastRenderedPageBreak/>
        <w:t>National consultation</w:t>
      </w:r>
    </w:p>
    <w:p w14:paraId="512AB2DB" w14:textId="77777777" w:rsidR="001C2139" w:rsidRPr="00297567" w:rsidRDefault="001C2139" w:rsidP="00297567">
      <w:r w:rsidRPr="00297567">
        <w:t xml:space="preserve">The issues papers served as the basis for the national public and stakeholder consultation process, which took place around Australia in October, November and December 2005 and January 2006. Public consultations began in Canberra on 21 October, followed by the Clare Valley and Adelaide on 23–25 October, Perth on 26–27 October, </w:t>
      </w:r>
      <w:proofErr w:type="gramStart"/>
      <w:r w:rsidRPr="00297567">
        <w:t>Brisbane</w:t>
      </w:r>
      <w:proofErr w:type="gramEnd"/>
      <w:r w:rsidRPr="00297567">
        <w:t xml:space="preserve"> and Townsville on 31 October–2 November, Narrabri and Sydney on 6–8 November, Melbourne and Horsham on 14–16 November, Hobart on 17–18 November and Darwin on 2 December.</w:t>
      </w:r>
    </w:p>
    <w:p w14:paraId="6E1C56BE" w14:textId="77777777" w:rsidR="001C2139" w:rsidRPr="00297567" w:rsidRDefault="001C2139" w:rsidP="00297567">
      <w:r w:rsidRPr="00297567">
        <w:t xml:space="preserve">These consultations consisted of a forum at each location which was open to the </w:t>
      </w:r>
      <w:proofErr w:type="gramStart"/>
      <w:r w:rsidRPr="00297567">
        <w:t>general</w:t>
      </w:r>
      <w:r w:rsidR="000A3F4C" w:rsidRPr="00297567">
        <w:t xml:space="preserve"> </w:t>
      </w:r>
      <w:r w:rsidRPr="00297567">
        <w:t>public</w:t>
      </w:r>
      <w:proofErr w:type="gramEnd"/>
      <w:r w:rsidRPr="00297567">
        <w:t>. In each State capital city, meetings were held with key stakeholder groups (see</w:t>
      </w:r>
      <w:r w:rsidR="000A3F4C" w:rsidRPr="00297567">
        <w:t xml:space="preserve"> </w:t>
      </w:r>
      <w:r w:rsidRPr="00297567">
        <w:t>Appendix 3 for a list of people who attended these consultations). The consultations</w:t>
      </w:r>
      <w:r w:rsidR="000A3F4C" w:rsidRPr="00297567">
        <w:t xml:space="preserve"> </w:t>
      </w:r>
      <w:r w:rsidRPr="00297567">
        <w:t xml:space="preserve">allowed the Review to hear, fi </w:t>
      </w:r>
      <w:proofErr w:type="spellStart"/>
      <w:r w:rsidRPr="00297567">
        <w:t>rst</w:t>
      </w:r>
      <w:proofErr w:type="spellEnd"/>
      <w:r w:rsidRPr="00297567">
        <w:t xml:space="preserve"> hand, a range of views of interested parties, including</w:t>
      </w:r>
      <w:r w:rsidR="000A3F4C" w:rsidRPr="00297567">
        <w:t xml:space="preserve"> </w:t>
      </w:r>
      <w:r w:rsidRPr="00297567">
        <w:t xml:space="preserve">State governments, industry, researchers, farm groups, </w:t>
      </w:r>
      <w:proofErr w:type="gramStart"/>
      <w:r w:rsidRPr="00297567">
        <w:t>NGOs</w:t>
      </w:r>
      <w:proofErr w:type="gramEnd"/>
      <w:r w:rsidRPr="00297567">
        <w:t xml:space="preserve"> and consumers.</w:t>
      </w:r>
    </w:p>
    <w:p w14:paraId="5038B966" w14:textId="77777777" w:rsidR="000A3F4C" w:rsidRPr="00297567" w:rsidRDefault="001C2139" w:rsidP="00297567">
      <w:r w:rsidRPr="00297567">
        <w:t>The Review met with the Regulator, the prescribed Australian Government agencies</w:t>
      </w:r>
      <w:r w:rsidR="000A3F4C" w:rsidRPr="00297567">
        <w:t xml:space="preserve"> </w:t>
      </w:r>
      <w:r w:rsidRPr="00297567">
        <w:t>that also have responsibilities relevant to the regulation of GMOs and GM products,</w:t>
      </w:r>
      <w:r w:rsidR="000A3F4C" w:rsidRPr="00297567">
        <w:t xml:space="preserve"> </w:t>
      </w:r>
      <w:r w:rsidRPr="00297567">
        <w:t xml:space="preserve">the Environment </w:t>
      </w:r>
      <w:proofErr w:type="gramStart"/>
      <w:r w:rsidRPr="00297567">
        <w:t>Minister</w:t>
      </w:r>
      <w:proofErr w:type="gramEnd"/>
      <w:r w:rsidRPr="00297567">
        <w:t xml:space="preserve"> and the statutory committees under the Act. In addition,</w:t>
      </w:r>
      <w:r w:rsidR="000A3F4C" w:rsidRPr="00297567">
        <w:t xml:space="preserve"> </w:t>
      </w:r>
      <w:r w:rsidRPr="00297567">
        <w:t>the Review made a series of visits to contained laboratories and field trial sites.</w:t>
      </w:r>
    </w:p>
    <w:p w14:paraId="05E23A3F" w14:textId="77777777" w:rsidR="000A3F4C" w:rsidRPr="00297567" w:rsidRDefault="000A3F4C" w:rsidP="00297567">
      <w:pPr>
        <w:pStyle w:val="Heading3"/>
      </w:pPr>
      <w:r w:rsidRPr="00297567">
        <w:t>Matters considered by the Review</w:t>
      </w:r>
    </w:p>
    <w:p w14:paraId="52E1359D" w14:textId="77777777" w:rsidR="000A3F4C" w:rsidRPr="00297567" w:rsidRDefault="000A3F4C" w:rsidP="00297567">
      <w:r w:rsidRPr="00297567">
        <w:t>The Review was cognisant that the policy positions reflected in the Act were reached after extensive public and stakeholder consultation prior to the passing of the Act.</w:t>
      </w:r>
    </w:p>
    <w:p w14:paraId="24D2A0C1" w14:textId="77777777" w:rsidR="000A3F4C" w:rsidRPr="00297567" w:rsidRDefault="000A3F4C" w:rsidP="00297567">
      <w:r w:rsidRPr="00297567">
        <w:t>The key focus of the Review was on issues that have emerged or changed significantly since the Act was passed and on matters arising from the practical operation of the Act.</w:t>
      </w:r>
    </w:p>
    <w:p w14:paraId="3F6DC1FD" w14:textId="77777777" w:rsidR="000A3F4C" w:rsidRPr="00297567" w:rsidRDefault="000A3F4C" w:rsidP="00297567">
      <w:r w:rsidRPr="00297567">
        <w:t>The Review took into consideration the following matters:</w:t>
      </w:r>
    </w:p>
    <w:p w14:paraId="70B7D163" w14:textId="247C420C" w:rsidR="000A3F4C" w:rsidRPr="00297567" w:rsidRDefault="000A3F4C" w:rsidP="009F018E">
      <w:pPr>
        <w:pStyle w:val="ListParagraph"/>
        <w:numPr>
          <w:ilvl w:val="0"/>
          <w:numId w:val="3"/>
        </w:numPr>
      </w:pPr>
      <w:r w:rsidRPr="00297567">
        <w:t xml:space="preserve">the submissions in relation to the terms of </w:t>
      </w:r>
      <w:proofErr w:type="gramStart"/>
      <w:r w:rsidRPr="00297567">
        <w:t>reference;</w:t>
      </w:r>
      <w:proofErr w:type="gramEnd"/>
    </w:p>
    <w:p w14:paraId="56E8B1EF" w14:textId="7AD6E50A" w:rsidR="000A3F4C" w:rsidRPr="00297567" w:rsidRDefault="000A3F4C" w:rsidP="009F018E">
      <w:pPr>
        <w:pStyle w:val="ListParagraph"/>
        <w:numPr>
          <w:ilvl w:val="0"/>
          <w:numId w:val="3"/>
        </w:numPr>
      </w:pPr>
      <w:r w:rsidRPr="00297567">
        <w:t xml:space="preserve">the issues raised during </w:t>
      </w:r>
      <w:proofErr w:type="gramStart"/>
      <w:r w:rsidRPr="00297567">
        <w:t>consultations;</w:t>
      </w:r>
      <w:proofErr w:type="gramEnd"/>
    </w:p>
    <w:p w14:paraId="37FEF81D" w14:textId="41F99CCB" w:rsidR="000A3F4C" w:rsidRPr="00297567" w:rsidRDefault="000A3F4C" w:rsidP="009F018E">
      <w:pPr>
        <w:pStyle w:val="ListParagraph"/>
        <w:numPr>
          <w:ilvl w:val="0"/>
          <w:numId w:val="3"/>
        </w:numPr>
      </w:pPr>
      <w:r w:rsidRPr="00297567">
        <w:t>the report from the Western Australia Legislative Council’s Standing Committee on Environment and Public Affairs</w:t>
      </w:r>
      <w:r w:rsidR="00A85459">
        <w:rPr>
          <w:rStyle w:val="FootnoteReference"/>
        </w:rPr>
        <w:footnoteReference w:id="1"/>
      </w:r>
      <w:r w:rsidRPr="00297567">
        <w:t>;</w:t>
      </w:r>
    </w:p>
    <w:p w14:paraId="4B8145A7" w14:textId="504DB4DB" w:rsidR="000A3F4C" w:rsidRPr="00297567" w:rsidRDefault="000A3F4C" w:rsidP="009F018E">
      <w:pPr>
        <w:pStyle w:val="ListParagraph"/>
        <w:numPr>
          <w:ilvl w:val="0"/>
          <w:numId w:val="3"/>
        </w:numPr>
      </w:pPr>
      <w:r w:rsidRPr="00297567">
        <w:t xml:space="preserve">the experience of the first 4 years of the operation of the Act, including the recent review of the Gene Technology Regulations </w:t>
      </w:r>
      <w:proofErr w:type="gramStart"/>
      <w:r w:rsidRPr="00297567">
        <w:t>2001;</w:t>
      </w:r>
      <w:proofErr w:type="gramEnd"/>
    </w:p>
    <w:p w14:paraId="3959FEB2" w14:textId="7DF93689" w:rsidR="000A3F4C" w:rsidRPr="00297567" w:rsidRDefault="000A3F4C" w:rsidP="009F018E">
      <w:pPr>
        <w:pStyle w:val="ListParagraph"/>
        <w:numPr>
          <w:ilvl w:val="0"/>
          <w:numId w:val="3"/>
        </w:numPr>
      </w:pPr>
      <w:r w:rsidRPr="00297567">
        <w:t xml:space="preserve">practical operational issues that have been encountered in the first 4 </w:t>
      </w:r>
      <w:proofErr w:type="gramStart"/>
      <w:r w:rsidRPr="00297567">
        <w:t>years;</w:t>
      </w:r>
      <w:proofErr w:type="gramEnd"/>
    </w:p>
    <w:p w14:paraId="4C8CC323" w14:textId="1D4BB670" w:rsidR="000A3F4C" w:rsidRPr="00297567" w:rsidRDefault="000A3F4C" w:rsidP="009F018E">
      <w:pPr>
        <w:pStyle w:val="ListParagraph"/>
        <w:numPr>
          <w:ilvl w:val="0"/>
          <w:numId w:val="3"/>
        </w:numPr>
      </w:pPr>
      <w:r w:rsidRPr="00297567">
        <w:t xml:space="preserve">technological change since 2001 and emerging trends in </w:t>
      </w:r>
      <w:proofErr w:type="gramStart"/>
      <w:r w:rsidRPr="00297567">
        <w:t>technology;</w:t>
      </w:r>
      <w:proofErr w:type="gramEnd"/>
    </w:p>
    <w:p w14:paraId="4F26F2B3" w14:textId="64CDB55C" w:rsidR="000A3F4C" w:rsidRPr="00297567" w:rsidRDefault="000A3F4C" w:rsidP="009F018E">
      <w:pPr>
        <w:pStyle w:val="ListParagraph"/>
        <w:numPr>
          <w:ilvl w:val="0"/>
          <w:numId w:val="3"/>
        </w:numPr>
      </w:pPr>
      <w:r w:rsidRPr="00297567">
        <w:t>emerging trends and international developments in biotechnology and its regulation; and</w:t>
      </w:r>
    </w:p>
    <w:p w14:paraId="2439A6D4" w14:textId="2C22EA30" w:rsidR="000A3F4C" w:rsidRPr="00297567" w:rsidRDefault="000A3F4C" w:rsidP="009F018E">
      <w:pPr>
        <w:pStyle w:val="ListParagraph"/>
        <w:numPr>
          <w:ilvl w:val="0"/>
          <w:numId w:val="3"/>
        </w:numPr>
      </w:pPr>
      <w:r w:rsidRPr="00297567">
        <w:t>reports and related literature.</w:t>
      </w:r>
    </w:p>
    <w:p w14:paraId="71A601E3" w14:textId="77777777" w:rsidR="000A3F4C" w:rsidRPr="00297567" w:rsidRDefault="000A3F4C" w:rsidP="00297567">
      <w:pPr>
        <w:pStyle w:val="Heading3"/>
      </w:pPr>
      <w:r w:rsidRPr="00297567">
        <w:t>Form of recommendations</w:t>
      </w:r>
    </w:p>
    <w:p w14:paraId="08A35921" w14:textId="77777777" w:rsidR="000A3F4C" w:rsidRPr="00297567" w:rsidRDefault="000A3F4C" w:rsidP="00297567">
      <w:r w:rsidRPr="00297567">
        <w:t>Having considered the list of matters above, the Review was left in no doubt of the wide variety of strongly held opinions on whether the current regulatory system is adequate to address the risks presented by GMOs. While the Review carefully considered the merits of each proposal to change the legislation, it has only formulated specific recommendations where it concluded that changes were warranted. Where the Review concluded that no change was warranted, the report sets out the Review’s reasoning for this view.</w:t>
      </w:r>
    </w:p>
    <w:p w14:paraId="7D9EFD9C" w14:textId="70D0D3EB" w:rsidR="000A3F4C" w:rsidRPr="00297567" w:rsidRDefault="000A3F4C" w:rsidP="00297567">
      <w:pPr>
        <w:pStyle w:val="Heading3"/>
      </w:pPr>
      <w:r w:rsidRPr="00297567">
        <w:lastRenderedPageBreak/>
        <w:t>Acknowledgments</w:t>
      </w:r>
    </w:p>
    <w:p w14:paraId="57743378" w14:textId="77777777" w:rsidR="000A3F4C" w:rsidRPr="00694EF4" w:rsidRDefault="000A3F4C" w:rsidP="00297567">
      <w:r w:rsidRPr="00694EF4">
        <w:t xml:space="preserve">The Review panel would particularly like to </w:t>
      </w:r>
      <w:r w:rsidRPr="00297567">
        <w:t>acknowledge</w:t>
      </w:r>
      <w:r w:rsidRPr="00694EF4">
        <w:t xml:space="preserve"> the time, effort and assistance of those people who lodged submissions and participated in the consultation process.</w:t>
      </w:r>
    </w:p>
    <w:p w14:paraId="1FE76EB8" w14:textId="77777777" w:rsidR="00EF5D9E" w:rsidRPr="00694EF4" w:rsidRDefault="000A3F4C" w:rsidP="00297567">
      <w:r w:rsidRPr="00297567">
        <w:t>The</w:t>
      </w:r>
      <w:r w:rsidRPr="00694EF4">
        <w:t xml:space="preserve"> Review would also like to acknowledge the work undertaken and assistance</w:t>
      </w:r>
      <w:r w:rsidR="00EF5D9E" w:rsidRPr="00694EF4">
        <w:t xml:space="preserve"> </w:t>
      </w:r>
      <w:r w:rsidRPr="00694EF4">
        <w:t>provided by the Secretariat.</w:t>
      </w:r>
    </w:p>
    <w:p w14:paraId="3E65A24C" w14:textId="77777777" w:rsidR="00A85459" w:rsidRPr="009A677E" w:rsidRDefault="00A85459" w:rsidP="009A677E">
      <w:r w:rsidRPr="009A677E">
        <w:br w:type="page"/>
      </w:r>
    </w:p>
    <w:p w14:paraId="6EA80058" w14:textId="7B23D4EE" w:rsidR="000A3F4C" w:rsidRPr="00297567" w:rsidRDefault="00A208DB" w:rsidP="00297567">
      <w:pPr>
        <w:pStyle w:val="Heading1"/>
      </w:pPr>
      <w:bookmarkStart w:id="24" w:name="_Toc95326258"/>
      <w:r>
        <w:lastRenderedPageBreak/>
        <w:t xml:space="preserve">Chapter 2: </w:t>
      </w:r>
      <w:r w:rsidR="00EF5D9E" w:rsidRPr="00297567">
        <w:t>BACKGROUND ON GENE TECHNOLOGY</w:t>
      </w:r>
      <w:bookmarkEnd w:id="24"/>
    </w:p>
    <w:p w14:paraId="3E22333E" w14:textId="165ED1EA" w:rsidR="00EF5D9E" w:rsidRPr="00297567" w:rsidRDefault="00EF5D9E" w:rsidP="00297567">
      <w:pPr>
        <w:pStyle w:val="Heading2"/>
      </w:pPr>
      <w:bookmarkStart w:id="25" w:name="_Toc95326259"/>
      <w:r w:rsidRPr="00297567">
        <w:t>What is gene technology?</w:t>
      </w:r>
      <w:bookmarkEnd w:id="25"/>
    </w:p>
    <w:p w14:paraId="4114B45B" w14:textId="77777777" w:rsidR="00EF5D9E" w:rsidRPr="00297567" w:rsidRDefault="00EF5D9E" w:rsidP="00297567">
      <w:r w:rsidRPr="00297567">
        <w:t xml:space="preserve">Gene technology involves the modification of organisms by the direct incorporation, </w:t>
      </w:r>
      <w:proofErr w:type="gramStart"/>
      <w:r w:rsidRPr="00297567">
        <w:t>deletion</w:t>
      </w:r>
      <w:proofErr w:type="gramEnd"/>
      <w:r w:rsidRPr="00297567">
        <w:t xml:space="preserve"> or alteration of one or more genes or genetic sequences to introduce or alter a specific characteristic or characteristics. Organisms modified using gene technology are GMOs and GM products are things, other than a GMO, derived or produced from a GMO.</w:t>
      </w:r>
    </w:p>
    <w:p w14:paraId="5257D0F0" w14:textId="77777777" w:rsidR="00EF5D9E" w:rsidRPr="00297567" w:rsidRDefault="00EF5D9E" w:rsidP="00297567">
      <w:r w:rsidRPr="00297567">
        <w:t>There are a variety of current and potential applications of gene technology including:</w:t>
      </w:r>
    </w:p>
    <w:p w14:paraId="0DF764C7" w14:textId="5292A557" w:rsidR="00EF5D9E" w:rsidRPr="00297567" w:rsidRDefault="00EF5D9E" w:rsidP="009F018E">
      <w:pPr>
        <w:pStyle w:val="ListParagraph"/>
        <w:numPr>
          <w:ilvl w:val="0"/>
          <w:numId w:val="3"/>
        </w:numPr>
      </w:pPr>
      <w:r w:rsidRPr="00297567">
        <w:t>medical research, for example, basic research in biology and medicine with micro-organisms and transgenic animals (primarily mice and zebra fish at present</w:t>
      </w:r>
      <w:proofErr w:type="gramStart"/>
      <w:r w:rsidRPr="00297567">
        <w:t>);</w:t>
      </w:r>
      <w:proofErr w:type="gramEnd"/>
    </w:p>
    <w:p w14:paraId="66E1D4BF" w14:textId="5C1FD5BD" w:rsidR="00EF5D9E" w:rsidRPr="00297567" w:rsidRDefault="00EF5D9E" w:rsidP="009F018E">
      <w:pPr>
        <w:pStyle w:val="ListParagraph"/>
        <w:numPr>
          <w:ilvl w:val="0"/>
          <w:numId w:val="3"/>
        </w:numPr>
      </w:pPr>
      <w:r w:rsidRPr="00297567">
        <w:t xml:space="preserve">agricultural biotechnology, for example, genetic modification of crops to introduce pest resistance, virus resistance or herbicide tolerance or salt </w:t>
      </w:r>
      <w:proofErr w:type="gramStart"/>
      <w:r w:rsidRPr="00297567">
        <w:t>tolerance;</w:t>
      </w:r>
      <w:proofErr w:type="gramEnd"/>
    </w:p>
    <w:p w14:paraId="00AB94E8" w14:textId="74BB1672" w:rsidR="00EF5D9E" w:rsidRPr="00297567" w:rsidRDefault="00EF5D9E" w:rsidP="009F018E">
      <w:pPr>
        <w:pStyle w:val="ListParagraph"/>
        <w:numPr>
          <w:ilvl w:val="0"/>
          <w:numId w:val="3"/>
        </w:numPr>
      </w:pPr>
      <w:r w:rsidRPr="00297567">
        <w:t xml:space="preserve">therapeutics applications that involve the modification of micro-organisms to produce insulin, or the modification of crops or animals to produce proteins of therapeutic </w:t>
      </w:r>
      <w:proofErr w:type="gramStart"/>
      <w:r w:rsidRPr="00297567">
        <w:t>value;</w:t>
      </w:r>
      <w:proofErr w:type="gramEnd"/>
    </w:p>
    <w:p w14:paraId="517C42E0" w14:textId="03763DB6" w:rsidR="00EF5D9E" w:rsidRPr="00297567" w:rsidRDefault="00EF5D9E" w:rsidP="009F018E">
      <w:pPr>
        <w:pStyle w:val="ListParagraph"/>
        <w:numPr>
          <w:ilvl w:val="0"/>
          <w:numId w:val="3"/>
        </w:numPr>
      </w:pPr>
      <w:r w:rsidRPr="00297567">
        <w:t xml:space="preserve">industrial applications that modify micro-organisms to produce </w:t>
      </w:r>
      <w:proofErr w:type="gramStart"/>
      <w:r w:rsidRPr="00297567">
        <w:t>particular enzymes</w:t>
      </w:r>
      <w:proofErr w:type="gramEnd"/>
      <w:r w:rsidRPr="00297567">
        <w:t>.</w:t>
      </w:r>
    </w:p>
    <w:p w14:paraId="271E66DE" w14:textId="4EA7B514" w:rsidR="00EF5D9E" w:rsidRPr="00297567" w:rsidRDefault="00EF5D9E" w:rsidP="00297567">
      <w:pPr>
        <w:pStyle w:val="Heading2"/>
      </w:pPr>
      <w:bookmarkStart w:id="26" w:name="_Toc95326260"/>
      <w:r w:rsidRPr="00297567">
        <w:t>Development of the gene technology regulatory system</w:t>
      </w:r>
      <w:bookmarkEnd w:id="26"/>
    </w:p>
    <w:p w14:paraId="1B4D7AA6" w14:textId="77777777" w:rsidR="00FE154A" w:rsidRPr="00297567" w:rsidRDefault="00EF5D9E" w:rsidP="00297567">
      <w:r w:rsidRPr="00297567">
        <w:t>The oversight of gene technology in Australia began on a voluntary basis with the formation of the Committee on Recombinant DNA that was set up by the Australian Academy of Science in the mid-1970s. This was followed by the Recombinant DNA Monitoring Committee which was established in 1981 in the federal Department of Science. These two committees comprised a range of scientific experts that effectively provided a peer review assessment of proposals to conduct experiments with GMOs between 1975 and 1987.</w:t>
      </w:r>
    </w:p>
    <w:p w14:paraId="3A676CE3" w14:textId="77777777" w:rsidR="00FE154A" w:rsidRPr="00297567" w:rsidRDefault="00EF5D9E" w:rsidP="00297567">
      <w:r w:rsidRPr="00297567">
        <w:t xml:space="preserve">The work of these organisations was consolidated into the Genetic Manipulation Advisory Committee (GMAC) in 1987. GMAC was an administrative body founded on the initiative of the then Minister for Industry, Technology and Commerce. It was funded federally and charged with the task of assessing risks to human health and the environment in connection with gene technology and providing advice to proponents on how risks associated with work with GMOs could be managed. It also provided advice to statutory agencies responsible for product approvals that contained </w:t>
      </w:r>
      <w:proofErr w:type="gramStart"/>
      <w:r w:rsidRPr="00297567">
        <w:t>GMOs, or</w:t>
      </w:r>
      <w:proofErr w:type="gramEnd"/>
      <w:r w:rsidRPr="00297567">
        <w:t xml:space="preserve"> contained things that were derived from GMOs.</w:t>
      </w:r>
    </w:p>
    <w:p w14:paraId="2C247AFE" w14:textId="77777777" w:rsidR="00FE154A" w:rsidRPr="00297567" w:rsidRDefault="00EF5D9E" w:rsidP="00297567">
      <w:r w:rsidRPr="00297567">
        <w:t>While GMAC had no statutory powers or functions its advice was consistently sought and complied with by Australian researchers. Although GMAC had no enforcement powers, compliance with its recommendations was a condition of research and development funding from the Australian Government.</w:t>
      </w:r>
    </w:p>
    <w:p w14:paraId="6EAC7FF6" w14:textId="77777777" w:rsidR="00FE154A" w:rsidRPr="00297567" w:rsidRDefault="00EF5D9E" w:rsidP="00297567">
      <w:r w:rsidRPr="00297567">
        <w:t>With the advent of significant advances in the application of the technology, increased commercial involvement, and elevated community concern about GMOs, in November 1998, the Australian Government, together with the States, initiated a cooperative process to develop a uniform, national approach to the regulation of gene technology. The Commonwealth State Consultative Group on Gene Technology (CSCG) prepared a paper entitled ‘Regulation of Gene Technology’ and sought public and other stakeholder comment. These consultations contributed to the preparation of a discussion paper by the CSCG entitled ‘Proposed national regulatory system for genetically modified organisms — How should it work?’</w:t>
      </w:r>
    </w:p>
    <w:p w14:paraId="1AEFD0F8" w14:textId="77777777" w:rsidR="00FE154A" w:rsidRPr="00297567" w:rsidRDefault="00EF5D9E" w:rsidP="00297567">
      <w:r w:rsidRPr="00297567">
        <w:lastRenderedPageBreak/>
        <w:t>The discussion paper was advertised widely in 1999 in national, State, and regional newspapers; mailed directly to over 2500 individuals and organisations representing a wide range of interests and all MPs and Senators in the Australian Parliament; and posted on the interim OGTR website. More than 200 written submissions were received. This initial development of the Act was informed by Australia’s first consensus conference where a range of community representatives were invited to provide comment on the management of GMOs.</w:t>
      </w:r>
    </w:p>
    <w:p w14:paraId="51CAD79B" w14:textId="77777777" w:rsidR="00FE154A" w:rsidRPr="00297567" w:rsidRDefault="00EF5D9E" w:rsidP="00297567">
      <w:r w:rsidRPr="00297567">
        <w:t xml:space="preserve">In December 1999 a draft Gene Technology Bill 2000 and accompanying Explanatory Memorandum were released for public comment. Public forums were held in all capital cities and </w:t>
      </w:r>
      <w:proofErr w:type="gramStart"/>
      <w:r w:rsidRPr="00297567">
        <w:t>a number of</w:t>
      </w:r>
      <w:proofErr w:type="gramEnd"/>
      <w:r w:rsidRPr="00297567">
        <w:t xml:space="preserve"> regional centres. Over 750 people </w:t>
      </w:r>
      <w:proofErr w:type="gramStart"/>
      <w:r w:rsidRPr="00297567">
        <w:t>attended</w:t>
      </w:r>
      <w:proofErr w:type="gramEnd"/>
      <w:r w:rsidRPr="00297567">
        <w:t xml:space="preserve"> and more than 160 written submissions were received. Such extensive consultation in the development of the regulatory scheme reflects the emphasis placed on community input and participation in the </w:t>
      </w:r>
      <w:proofErr w:type="gramStart"/>
      <w:r w:rsidRPr="00297567">
        <w:t>decision making</w:t>
      </w:r>
      <w:proofErr w:type="gramEnd"/>
      <w:r w:rsidRPr="00297567">
        <w:t xml:space="preserve"> process in relation to gene technology. This process generated strong agreement about what should be included and excluded from the scope of the legislation. In setting up the regulatory scheme the government sought to recognise and balance both the potential of gene technology to contribute to society and community concerns over the development and deployment of the technology.</w:t>
      </w:r>
    </w:p>
    <w:p w14:paraId="545D0945" w14:textId="4918A6FB" w:rsidR="00EF5D9E" w:rsidRPr="00297567" w:rsidRDefault="00EF5D9E" w:rsidP="00297567">
      <w:r w:rsidRPr="00297567">
        <w:t xml:space="preserve"> On 21 June 2001 the Act and the Gene Technology Regulations 2001 (the Regulations) came into effect, establishing the national legislative scheme for the regulation of gene technology in Australia. The Act establishes an independent statutory office holder (the Regulator), who is charged with administering the Act and making decisions about the development and use of GMOs under the Act (see Appendix 4:</w:t>
      </w:r>
    </w:p>
    <w:p w14:paraId="3FAC82BE" w14:textId="4CB9972F" w:rsidR="00081F9E" w:rsidRPr="00694EF4" w:rsidRDefault="00EF5D9E" w:rsidP="00297567">
      <w:r w:rsidRPr="00297567">
        <w:t>The Application Approval Process, and Appendix 5: Structure of the Office of the Gene Technology Regulator).</w:t>
      </w:r>
    </w:p>
    <w:p w14:paraId="58208452" w14:textId="77777777" w:rsidR="00081F9E" w:rsidRPr="00694EF4" w:rsidRDefault="00081F9E" w:rsidP="00EA40A7">
      <w:pPr>
        <w:pStyle w:val="Heading2"/>
      </w:pPr>
      <w:bookmarkStart w:id="27" w:name="_Toc95326261"/>
      <w:r w:rsidRPr="00694EF4">
        <w:t>The Gene Technology Ministerial Council and the Gene Technology Intergovernmental Agreement</w:t>
      </w:r>
      <w:bookmarkEnd w:id="27"/>
    </w:p>
    <w:p w14:paraId="72811AB3" w14:textId="77777777" w:rsidR="00081F9E" w:rsidRPr="00297567" w:rsidRDefault="00081F9E" w:rsidP="00297567">
      <w:r w:rsidRPr="00297567">
        <w:t>The implementation of the legislation and the role of the Regulator are overseen by the GTMC. The GTMC was established by the IGA between the Australian Government and the governments of all States. The IGA also commits State governments to enacting corresponding State legislation. The entire text of the IGA can be found at Appendix 6 to this report.</w:t>
      </w:r>
    </w:p>
    <w:p w14:paraId="5DEA27DB" w14:textId="77777777" w:rsidR="00081F9E" w:rsidRPr="00297567" w:rsidRDefault="00081F9E" w:rsidP="00297567">
      <w:r w:rsidRPr="00297567">
        <w:t>Functions conferred upon the GTMC by the IGA are to:</w:t>
      </w:r>
    </w:p>
    <w:p w14:paraId="7B07ECDF" w14:textId="77777777" w:rsidR="00081F9E" w:rsidRPr="00297567" w:rsidRDefault="00081F9E" w:rsidP="009F018E">
      <w:pPr>
        <w:pStyle w:val="ListParagraph"/>
        <w:numPr>
          <w:ilvl w:val="0"/>
          <w:numId w:val="4"/>
        </w:numPr>
      </w:pPr>
      <w:r w:rsidRPr="00297567">
        <w:t>issue policy principles, policy guidelines and codes of practice to govern the activities of the Regulator and the operation of the Scheme (the ‘Scheme’ refers to the national legislative scheme to protect the health and safety of people and to protect the environment, by identifying risks posed by, or as a result of, gene technology and by managing those risks through regulating certain dealings with GMOs</w:t>
      </w:r>
      <w:proofErr w:type="gramStart"/>
      <w:r w:rsidRPr="00297567">
        <w:t>);</w:t>
      </w:r>
      <w:proofErr w:type="gramEnd"/>
    </w:p>
    <w:p w14:paraId="7A1731ED" w14:textId="77777777" w:rsidR="00081F9E" w:rsidRPr="00297567" w:rsidRDefault="00081F9E" w:rsidP="009F018E">
      <w:pPr>
        <w:pStyle w:val="ListParagraph"/>
        <w:numPr>
          <w:ilvl w:val="0"/>
          <w:numId w:val="4"/>
        </w:numPr>
      </w:pPr>
      <w:r w:rsidRPr="00297567">
        <w:t xml:space="preserve">approve proposed regulations for the purpose of the </w:t>
      </w:r>
      <w:proofErr w:type="gramStart"/>
      <w:r w:rsidRPr="00297567">
        <w:t>Scheme;</w:t>
      </w:r>
      <w:proofErr w:type="gramEnd"/>
    </w:p>
    <w:p w14:paraId="66E3484E" w14:textId="77777777" w:rsidR="00081F9E" w:rsidRPr="00297567" w:rsidRDefault="00081F9E" w:rsidP="009F018E">
      <w:pPr>
        <w:pStyle w:val="ListParagraph"/>
        <w:numPr>
          <w:ilvl w:val="0"/>
          <w:numId w:val="4"/>
        </w:numPr>
      </w:pPr>
      <w:r w:rsidRPr="00297567">
        <w:t xml:space="preserve">approve the appointment (and, if necessary, the dismissal) of the Regulator, and of the chairpersons of the GTTAC, GTCCC, and GTEC, and advise the responsible Commonwealth Minister on the appointment of the members of those </w:t>
      </w:r>
      <w:proofErr w:type="gramStart"/>
      <w:r w:rsidRPr="00297567">
        <w:t>bodies;</w:t>
      </w:r>
      <w:proofErr w:type="gramEnd"/>
    </w:p>
    <w:p w14:paraId="3859D83D" w14:textId="77777777" w:rsidR="00081F9E" w:rsidRPr="00297567" w:rsidRDefault="00081F9E" w:rsidP="009F018E">
      <w:pPr>
        <w:pStyle w:val="ListParagraph"/>
        <w:numPr>
          <w:ilvl w:val="0"/>
          <w:numId w:val="4"/>
        </w:numPr>
      </w:pPr>
      <w:r w:rsidRPr="00297567">
        <w:t xml:space="preserve">ensure coordination with other Ministerial Councils on matters relating to gene technology and, in particular, harmonisation of regulatory processes relating to GM </w:t>
      </w:r>
      <w:proofErr w:type="gramStart"/>
      <w:r w:rsidRPr="00297567">
        <w:t>products;</w:t>
      </w:r>
      <w:proofErr w:type="gramEnd"/>
    </w:p>
    <w:p w14:paraId="69C97852" w14:textId="77777777" w:rsidR="00081F9E" w:rsidRPr="00297567" w:rsidRDefault="00081F9E" w:rsidP="009F018E">
      <w:pPr>
        <w:pStyle w:val="ListParagraph"/>
        <w:numPr>
          <w:ilvl w:val="0"/>
          <w:numId w:val="4"/>
        </w:numPr>
      </w:pPr>
      <w:r w:rsidRPr="00297567">
        <w:lastRenderedPageBreak/>
        <w:t xml:space="preserve">oversee generally the implementation of the </w:t>
      </w:r>
      <w:proofErr w:type="gramStart"/>
      <w:r w:rsidRPr="00297567">
        <w:t>Scheme;</w:t>
      </w:r>
      <w:proofErr w:type="gramEnd"/>
    </w:p>
    <w:p w14:paraId="7119CBA9" w14:textId="77777777" w:rsidR="00081F9E" w:rsidRPr="00297567" w:rsidRDefault="00081F9E" w:rsidP="009F018E">
      <w:pPr>
        <w:pStyle w:val="ListParagraph"/>
        <w:numPr>
          <w:ilvl w:val="0"/>
          <w:numId w:val="4"/>
        </w:numPr>
      </w:pPr>
      <w:r w:rsidRPr="00297567">
        <w:t xml:space="preserve">consider and, if thought fit, agree on proposed changes to the </w:t>
      </w:r>
      <w:proofErr w:type="gramStart"/>
      <w:r w:rsidRPr="00297567">
        <w:t>Scheme;</w:t>
      </w:r>
      <w:proofErr w:type="gramEnd"/>
    </w:p>
    <w:p w14:paraId="05A7057D" w14:textId="77777777" w:rsidR="00081F9E" w:rsidRPr="00297567" w:rsidRDefault="00081F9E" w:rsidP="009F018E">
      <w:pPr>
        <w:pStyle w:val="ListParagraph"/>
        <w:numPr>
          <w:ilvl w:val="0"/>
          <w:numId w:val="4"/>
        </w:numPr>
      </w:pPr>
      <w:r w:rsidRPr="00297567">
        <w:t>initiate a review of the Scheme in accordance with the specifications of the IGA; and</w:t>
      </w:r>
    </w:p>
    <w:p w14:paraId="738A3FE2" w14:textId="77777777" w:rsidR="00081F9E" w:rsidRPr="00297567" w:rsidRDefault="00081F9E" w:rsidP="009F018E">
      <w:pPr>
        <w:pStyle w:val="ListParagraph"/>
        <w:numPr>
          <w:ilvl w:val="0"/>
          <w:numId w:val="4"/>
        </w:numPr>
      </w:pPr>
      <w:r w:rsidRPr="00297567">
        <w:t>perform any other function conferred on the GTMC by the IGA.</w:t>
      </w:r>
    </w:p>
    <w:p w14:paraId="4B0E3253" w14:textId="77777777" w:rsidR="00EA40A7" w:rsidRPr="00297567" w:rsidRDefault="00081F9E" w:rsidP="00297567">
      <w:r w:rsidRPr="00297567">
        <w:t>In summary, the role of the GTMC is to provide policy input into the implementation and operation of the regulatory scheme. In addition, the GTMC provides advice to the Australian Government Minister for Health and Ageing on the appointment of the Regulator and appointment of members of the Gene Technology Committees (see below). The GTMC is supported by the Gene Technology Standing Committee comprised of senior Commonwealth and state department officials, and the Regulator is supported by the OGTR.</w:t>
      </w:r>
    </w:p>
    <w:p w14:paraId="0BDC2EC5" w14:textId="77777777" w:rsidR="00EA40A7" w:rsidRPr="00297567" w:rsidRDefault="00081F9E" w:rsidP="00297567">
      <w:r w:rsidRPr="00297567">
        <w:t>The Act provides for the GTMC to issue policy principles dealing with ethical issues relating to GMOs and the recognition of areas designated under State law for the purpose of preserving the identity of either GM crops or non-GM crops for marketing purposes (section 21).</w:t>
      </w:r>
    </w:p>
    <w:p w14:paraId="37E84D41" w14:textId="6B252A7F" w:rsidR="00081F9E" w:rsidRPr="00297567" w:rsidRDefault="00081F9E" w:rsidP="00297567">
      <w:r w:rsidRPr="00297567">
        <w:t xml:space="preserve">The GTMC issued its first policy principle on 31 July 2003: </w:t>
      </w:r>
      <w:proofErr w:type="gramStart"/>
      <w:r w:rsidRPr="00297567">
        <w:t>the</w:t>
      </w:r>
      <w:proofErr w:type="gramEnd"/>
      <w:r w:rsidRPr="00297567">
        <w:t xml:space="preserve"> Gene Technology (Recognition of Designated Areas) Principle 2003 which came into effect on 5 September 2003. This principle allows States to preserve the identity of GM or non-GM crops (or both) for marketing purposes.</w:t>
      </w:r>
    </w:p>
    <w:p w14:paraId="26539FCE" w14:textId="77777777" w:rsidR="00081F9E" w:rsidRPr="00694EF4" w:rsidRDefault="00081F9E" w:rsidP="00EA40A7">
      <w:pPr>
        <w:pStyle w:val="Heading2"/>
      </w:pPr>
      <w:bookmarkStart w:id="28" w:name="_Toc95326262"/>
      <w:r w:rsidRPr="00694EF4">
        <w:t>Coordination with other regulatory agencies and NHMRC</w:t>
      </w:r>
      <w:bookmarkEnd w:id="28"/>
    </w:p>
    <w:p w14:paraId="71266E8F" w14:textId="77777777" w:rsidR="00081F9E" w:rsidRPr="00297567" w:rsidRDefault="00081F9E" w:rsidP="00297567">
      <w:r w:rsidRPr="00297567">
        <w:t>Australia’s gene technology regulatory system does not operate in isolation, but rather as part of an integrated legislative framework. While the Regulator must consider risks to health and safety of people and the environment relating to the development and use of GMOs, other agencies with complementary expertise have responsibility for regulating GMOs or GM products as part of a broader or different mandate (in this report these groups are referred to as other regulatory agencies).</w:t>
      </w:r>
    </w:p>
    <w:p w14:paraId="6A6C6426" w14:textId="77777777" w:rsidR="00081F9E" w:rsidRPr="00297567" w:rsidRDefault="00081F9E" w:rsidP="00297567">
      <w:r w:rsidRPr="00297567">
        <w:t xml:space="preserve">During the development of the gene technology legislation, it was determined that the activities of the Regulator should not override existing legislation or result in duplication. The Act </w:t>
      </w:r>
      <w:proofErr w:type="gramStart"/>
      <w:r w:rsidRPr="00297567">
        <w:t>was seen as</w:t>
      </w:r>
      <w:proofErr w:type="gramEnd"/>
      <w:r w:rsidRPr="00297567">
        <w:t xml:space="preserve"> a means of addressing areas of gene technology not currently covered by existing legislation. The Act thus incorporates a requirement for the Regulator to consult with other agencies on applications for </w:t>
      </w:r>
      <w:proofErr w:type="gramStart"/>
      <w:r w:rsidRPr="00297567">
        <w:t>DIRs, and</w:t>
      </w:r>
      <w:proofErr w:type="gramEnd"/>
      <w:r w:rsidRPr="00297567">
        <w:t xml:space="preserve"> was accompanied by consequential amendments of the other relevant Acts, relating to mutual consultation and exchange of information regarding their assessments and approvals.</w:t>
      </w:r>
    </w:p>
    <w:p w14:paraId="5B4AFDEA" w14:textId="77777777" w:rsidR="00081F9E" w:rsidRPr="00297567" w:rsidRDefault="00081F9E" w:rsidP="00297567">
      <w:r w:rsidRPr="00297567">
        <w:t>Accordingly, where other agencies approve non-viable (</w:t>
      </w:r>
      <w:proofErr w:type="gramStart"/>
      <w:r w:rsidRPr="00297567">
        <w:t>i.e.</w:t>
      </w:r>
      <w:proofErr w:type="gramEnd"/>
      <w:r w:rsidRPr="00297567">
        <w:t xml:space="preserve"> unable to reproduce) products derived from GMOs, advice on these decisions is supplied to the Regulator for placing on the GMO record.</w:t>
      </w:r>
    </w:p>
    <w:p w14:paraId="66FBDA5D" w14:textId="77777777" w:rsidR="00081F9E" w:rsidRPr="00694EF4" w:rsidRDefault="00081F9E">
      <w:pPr>
        <w:rPr>
          <w:rFonts w:asciiTheme="minorHAnsi" w:hAnsiTheme="minorHAnsi" w:cstheme="minorHAnsi"/>
        </w:rPr>
      </w:pPr>
      <w:r w:rsidRPr="00694EF4">
        <w:rPr>
          <w:rFonts w:asciiTheme="minorHAnsi" w:hAnsiTheme="minorHAnsi" w:cstheme="minorHAnsi"/>
        </w:rPr>
        <w:br w:type="page"/>
      </w:r>
    </w:p>
    <w:p w14:paraId="66F51240" w14:textId="2E3B9756" w:rsidR="00081F9E" w:rsidRDefault="00081F9E" w:rsidP="009F7D99">
      <w:pPr>
        <w:rPr>
          <w:b/>
          <w:bCs/>
        </w:rPr>
      </w:pPr>
      <w:r w:rsidRPr="009F7D99">
        <w:rPr>
          <w:b/>
          <w:bCs/>
        </w:rPr>
        <w:lastRenderedPageBreak/>
        <w:t>Table 1: Other Commonwealth Agencies in Australia with a role in regulating gene technology</w:t>
      </w:r>
    </w:p>
    <w:p w14:paraId="3F298EDE" w14:textId="78FC17E3" w:rsidR="009F7D99" w:rsidRPr="009F7D99" w:rsidRDefault="009F7D99" w:rsidP="009F7D99">
      <w:r w:rsidRPr="009F7D99">
        <w:rPr>
          <w:noProof/>
        </w:rPr>
        <w:drawing>
          <wp:inline distT="0" distB="0" distL="0" distR="0" wp14:anchorId="7A2D6462" wp14:editId="233715E9">
            <wp:extent cx="4982270" cy="7401958"/>
            <wp:effectExtent l="0" t="0" r="8890" b="8890"/>
            <wp:docPr id="18" name="Picture 18" descr="Other Commonwealth Agencies in Australia with a role in regulating gene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Other Commonwealth Agencies in Australia with a role in regulating gene technology"/>
                    <pic:cNvPicPr/>
                  </pic:nvPicPr>
                  <pic:blipFill>
                    <a:blip r:embed="rId12"/>
                    <a:stretch>
                      <a:fillRect/>
                    </a:stretch>
                  </pic:blipFill>
                  <pic:spPr>
                    <a:xfrm>
                      <a:off x="0" y="0"/>
                      <a:ext cx="4982270" cy="7401958"/>
                    </a:xfrm>
                    <a:prstGeom prst="rect">
                      <a:avLst/>
                    </a:prstGeom>
                  </pic:spPr>
                </pic:pic>
              </a:graphicData>
            </a:graphic>
          </wp:inline>
        </w:drawing>
      </w:r>
    </w:p>
    <w:p w14:paraId="7D64287A" w14:textId="77777777" w:rsidR="00081F9E" w:rsidRPr="009F7D99" w:rsidRDefault="00081F9E" w:rsidP="009F7D99">
      <w:r w:rsidRPr="009F7D99">
        <w:br w:type="page"/>
      </w:r>
    </w:p>
    <w:p w14:paraId="0671C2F7" w14:textId="4A6B5AA9" w:rsidR="002046B7" w:rsidRPr="00C55EFC" w:rsidRDefault="00922125" w:rsidP="00C55EFC">
      <w:r w:rsidRPr="00922125">
        <w:rPr>
          <w:noProof/>
        </w:rPr>
        <w:lastRenderedPageBreak/>
        <w:drawing>
          <wp:inline distT="0" distB="0" distL="0" distR="0" wp14:anchorId="1381E8C1" wp14:editId="0A41868A">
            <wp:extent cx="4639322" cy="7449590"/>
            <wp:effectExtent l="0" t="0" r="8890" b="0"/>
            <wp:docPr id="19" name="Picture 19" descr="Other Commonwealth Agencies in Australia with a role in regulating gene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Other Commonwealth Agencies in Australia with a role in regulating gene technology"/>
                    <pic:cNvPicPr/>
                  </pic:nvPicPr>
                  <pic:blipFill>
                    <a:blip r:embed="rId13"/>
                    <a:stretch>
                      <a:fillRect/>
                    </a:stretch>
                  </pic:blipFill>
                  <pic:spPr>
                    <a:xfrm>
                      <a:off x="0" y="0"/>
                      <a:ext cx="4639322" cy="7449590"/>
                    </a:xfrm>
                    <a:prstGeom prst="rect">
                      <a:avLst/>
                    </a:prstGeom>
                  </pic:spPr>
                </pic:pic>
              </a:graphicData>
            </a:graphic>
          </wp:inline>
        </w:drawing>
      </w:r>
    </w:p>
    <w:p w14:paraId="55512DE9" w14:textId="77777777" w:rsidR="002046B7" w:rsidRPr="00922125" w:rsidRDefault="002046B7" w:rsidP="00922125">
      <w:r w:rsidRPr="00922125">
        <w:br w:type="page"/>
      </w:r>
    </w:p>
    <w:p w14:paraId="265B159E" w14:textId="683A1182" w:rsidR="00081F9E" w:rsidRPr="00694EF4" w:rsidRDefault="00A208DB" w:rsidP="00016D07">
      <w:pPr>
        <w:pStyle w:val="Heading1"/>
      </w:pPr>
      <w:bookmarkStart w:id="29" w:name="_Toc95326263"/>
      <w:r>
        <w:lastRenderedPageBreak/>
        <w:t xml:space="preserve">Chapter 3: </w:t>
      </w:r>
      <w:r w:rsidR="002046B7" w:rsidRPr="00694EF4">
        <w:t>SCOPE OF THE ACT</w:t>
      </w:r>
      <w:bookmarkEnd w:id="29"/>
    </w:p>
    <w:p w14:paraId="0F591D4D" w14:textId="77777777" w:rsidR="002046B7" w:rsidRPr="000B4132" w:rsidRDefault="002046B7" w:rsidP="000B4132">
      <w:pPr>
        <w:shd w:val="clear" w:color="auto" w:fill="E2EFD9" w:themeFill="accent6" w:themeFillTint="33"/>
        <w:rPr>
          <w:b/>
          <w:bCs/>
        </w:rPr>
      </w:pPr>
      <w:r w:rsidRPr="000B4132">
        <w:rPr>
          <w:b/>
          <w:bCs/>
        </w:rPr>
        <w:t>Term of reference 1:</w:t>
      </w:r>
    </w:p>
    <w:p w14:paraId="68C5D0B6" w14:textId="77777777" w:rsidR="002046B7" w:rsidRPr="00694EF4" w:rsidRDefault="002046B7" w:rsidP="00297567">
      <w:pPr>
        <w:shd w:val="clear" w:color="auto" w:fill="E2EFD9" w:themeFill="accent6" w:themeFillTint="33"/>
      </w:pPr>
      <w:r w:rsidRPr="00694EF4">
        <w:t>Review the scope of the Act to determine whether the policy objectives remain valid; and consider other issues, technologies or organisms that may be included in the scope of the Act, including:</w:t>
      </w:r>
    </w:p>
    <w:p w14:paraId="07E4C9BC" w14:textId="33882159" w:rsidR="002046B7" w:rsidRPr="00297567" w:rsidRDefault="00297567" w:rsidP="00297567">
      <w:pPr>
        <w:shd w:val="clear" w:color="auto" w:fill="E2EFD9" w:themeFill="accent6" w:themeFillTint="33"/>
      </w:pPr>
      <w:r>
        <w:t>a</w:t>
      </w:r>
      <w:r w:rsidR="00157B61">
        <w:t>)</w:t>
      </w:r>
      <w:r>
        <w:t xml:space="preserve"> </w:t>
      </w:r>
      <w:r w:rsidR="002046B7" w:rsidRPr="00297567">
        <w:t>consideration of economic, marketing and trade, cultural and social impacts, and re-examine how ethical issues are considered</w:t>
      </w:r>
    </w:p>
    <w:p w14:paraId="6F1BEF2F" w14:textId="68246EA0" w:rsidR="002046B7" w:rsidRPr="00297567" w:rsidRDefault="00297567" w:rsidP="00297567">
      <w:pPr>
        <w:shd w:val="clear" w:color="auto" w:fill="E2EFD9" w:themeFill="accent6" w:themeFillTint="33"/>
      </w:pPr>
      <w:r>
        <w:t>b</w:t>
      </w:r>
      <w:r w:rsidR="00157B61">
        <w:t>)</w:t>
      </w:r>
      <w:r>
        <w:t xml:space="preserve"> </w:t>
      </w:r>
      <w:r w:rsidR="002046B7" w:rsidRPr="00297567">
        <w:t>the definitions in the Act, including of the environment, and the need for the definition of other terms, including health</w:t>
      </w:r>
    </w:p>
    <w:p w14:paraId="1DB3DFA1" w14:textId="2DA5F885" w:rsidR="002046B7" w:rsidRPr="00297567" w:rsidRDefault="00297567" w:rsidP="00297567">
      <w:pPr>
        <w:shd w:val="clear" w:color="auto" w:fill="E2EFD9" w:themeFill="accent6" w:themeFillTint="33"/>
      </w:pPr>
      <w:r>
        <w:t>c</w:t>
      </w:r>
      <w:r w:rsidR="00157B61">
        <w:t>)</w:t>
      </w:r>
      <w:r>
        <w:t xml:space="preserve"> </w:t>
      </w:r>
      <w:r w:rsidR="002046B7" w:rsidRPr="00297567">
        <w:t>consideration of the technologies and organisms covered by the Act</w:t>
      </w:r>
    </w:p>
    <w:p w14:paraId="1896D937" w14:textId="3A2D3A8D" w:rsidR="002046B7" w:rsidRPr="00297567" w:rsidRDefault="00297567" w:rsidP="00297567">
      <w:pPr>
        <w:shd w:val="clear" w:color="auto" w:fill="E2EFD9" w:themeFill="accent6" w:themeFillTint="33"/>
      </w:pPr>
      <w:r>
        <w:t>d</w:t>
      </w:r>
      <w:r w:rsidR="00157B61">
        <w:t>)</w:t>
      </w:r>
      <w:r>
        <w:t xml:space="preserve"> </w:t>
      </w:r>
      <w:r w:rsidR="002046B7" w:rsidRPr="00297567">
        <w:t xml:space="preserve">consideration of a trait </w:t>
      </w:r>
      <w:proofErr w:type="gramStart"/>
      <w:r w:rsidR="002046B7" w:rsidRPr="00297567">
        <w:t>based</w:t>
      </w:r>
      <w:proofErr w:type="gramEnd"/>
      <w:r w:rsidR="002046B7" w:rsidRPr="00297567">
        <w:t xml:space="preserve"> or novel organism based regulatory scope</w:t>
      </w:r>
    </w:p>
    <w:p w14:paraId="22811888" w14:textId="77777777" w:rsidR="002046B7" w:rsidRPr="005C1F1B" w:rsidRDefault="002046B7" w:rsidP="00016D07">
      <w:pPr>
        <w:pStyle w:val="Heading2"/>
      </w:pPr>
      <w:bookmarkStart w:id="30" w:name="_Toc95326264"/>
      <w:r w:rsidRPr="005C1F1B">
        <w:t>Policy objectives</w:t>
      </w:r>
      <w:bookmarkEnd w:id="30"/>
    </w:p>
    <w:p w14:paraId="4D96CC95" w14:textId="77777777" w:rsidR="002046B7" w:rsidRPr="00157B61" w:rsidRDefault="002046B7" w:rsidP="00157B61">
      <w:r w:rsidRPr="00157B61">
        <w:t>The policy objective of the Act is set out in section 3, which provides that:</w:t>
      </w:r>
    </w:p>
    <w:p w14:paraId="2D334C4B" w14:textId="0ACEB2F1" w:rsidR="002046B7" w:rsidRPr="00157B61" w:rsidRDefault="002046B7" w:rsidP="006F67E5">
      <w:pPr>
        <w:shd w:val="clear" w:color="auto" w:fill="E7E6E6" w:themeFill="background2"/>
      </w:pPr>
      <w:r w:rsidRPr="00157B61">
        <w:t xml:space="preserve">The object of this Act is to protect the health and safety of people, and to protect the environment, by identifying risks posed by or </w:t>
      </w:r>
      <w:proofErr w:type="gramStart"/>
      <w:r w:rsidRPr="00157B61">
        <w:t>as a result of</w:t>
      </w:r>
      <w:proofErr w:type="gramEnd"/>
      <w:r w:rsidRPr="00157B61">
        <w:t xml:space="preserve"> gene technology, and by managing those risks through regulating certain dealings with GMOs.</w:t>
      </w:r>
    </w:p>
    <w:p w14:paraId="24029CC2" w14:textId="77777777" w:rsidR="002046B7" w:rsidRPr="00157B61" w:rsidRDefault="002046B7" w:rsidP="00157B61">
      <w:r w:rsidRPr="00157B61">
        <w:t>The current policy objective was universally endorsed as remaining valid. However, there were views put to the Review to extend the scope beyond the current focus on protection of health and safety of people and the environment, which, if accepted, would create new policy objectives. These matters are discussed below.</w:t>
      </w:r>
    </w:p>
    <w:p w14:paraId="479D23BB" w14:textId="77777777" w:rsidR="002046B7" w:rsidRPr="00694EF4" w:rsidRDefault="002046B7" w:rsidP="00E70AE3">
      <w:pPr>
        <w:pStyle w:val="Heading2"/>
      </w:pPr>
      <w:bookmarkStart w:id="31" w:name="_Toc95326265"/>
      <w:r w:rsidRPr="00694EF4">
        <w:t>Consideration of economic, marketing and trade, cultural and social impacts</w:t>
      </w:r>
      <w:bookmarkEnd w:id="31"/>
    </w:p>
    <w:p w14:paraId="72708E9A" w14:textId="77777777" w:rsidR="002046B7" w:rsidRPr="006F67E5" w:rsidRDefault="002046B7" w:rsidP="006F67E5">
      <w:r w:rsidRPr="006F67E5">
        <w:t xml:space="preserve">There were many submissions and comments during the consultations on the issues raised by paragraph (a) of the </w:t>
      </w:r>
      <w:proofErr w:type="spellStart"/>
      <w:r w:rsidRPr="006F67E5">
        <w:t>ToR</w:t>
      </w:r>
      <w:proofErr w:type="spellEnd"/>
      <w:r w:rsidRPr="006F67E5">
        <w:t>: should the Act require consideration of other impacts of GMOs? It should be noted that ethical issues are considered in chapter 5 in the discussion on the committees.</w:t>
      </w:r>
    </w:p>
    <w:p w14:paraId="631BA9B2" w14:textId="77777777" w:rsidR="002046B7" w:rsidRPr="006F67E5" w:rsidRDefault="002046B7" w:rsidP="006F67E5">
      <w:r w:rsidRPr="006F67E5">
        <w:t>Many submissions to the Review, particularly those from industry, researchers and farming organisations seeking a choice to grow GMOs, supported the scope of the existing policy objective. They argued that health and safety of people and environmental protection were appropriate objectives for a regulatory framework which they saw as rigorous, transparent and science based, and that other impacts should be assessed in other ways.</w:t>
      </w:r>
    </w:p>
    <w:p w14:paraId="374A0654" w14:textId="77777777" w:rsidR="002046B7" w:rsidRPr="006F67E5" w:rsidRDefault="002046B7" w:rsidP="006F67E5">
      <w:r w:rsidRPr="006F67E5">
        <w:t xml:space="preserve">In relation to marketing and trade impacts, these groups argued that the impacts of a GMO crop were heavily dependent on market conditions in what was essentially a global market, and that these conditions changed quickly. As such, it was considered inappropriate for a point of time assessment of market conditions to inform the decision on </w:t>
      </w:r>
      <w:proofErr w:type="gramStart"/>
      <w:r w:rsidRPr="006F67E5">
        <w:t>whether or not</w:t>
      </w:r>
      <w:proofErr w:type="gramEnd"/>
      <w:r w:rsidRPr="006F67E5">
        <w:t xml:space="preserve"> to release a GMO for commercial cropping by producers who wished to use it.</w:t>
      </w:r>
    </w:p>
    <w:p w14:paraId="2DE1973D" w14:textId="77777777" w:rsidR="008D21A1" w:rsidRPr="006F67E5" w:rsidRDefault="008D21A1" w:rsidP="006F67E5">
      <w:r w:rsidRPr="006F67E5">
        <w:t>These groups supported their view with examples of how other agricultural issues involving introduction of new varieties had been dealt with outside a legislative framework (see case study below).</w:t>
      </w:r>
    </w:p>
    <w:p w14:paraId="46DC3D5C" w14:textId="77777777" w:rsidR="00016D07" w:rsidRPr="008D21A1" w:rsidRDefault="00016D07" w:rsidP="006F67E5">
      <w:pPr>
        <w:keepNext/>
        <w:shd w:val="clear" w:color="auto" w:fill="E2EFD9" w:themeFill="accent6" w:themeFillTint="33"/>
        <w:autoSpaceDE w:val="0"/>
        <w:autoSpaceDN w:val="0"/>
        <w:adjustRightInd w:val="0"/>
        <w:spacing w:after="0" w:line="240" w:lineRule="auto"/>
        <w:jc w:val="center"/>
        <w:rPr>
          <w:rFonts w:ascii="OptimaLT-Black" w:hAnsi="OptimaLT-Black" w:cs="OptimaLT-Black"/>
          <w:b/>
          <w:color w:val="231F20"/>
          <w:szCs w:val="22"/>
        </w:rPr>
      </w:pPr>
      <w:r w:rsidRPr="008D21A1">
        <w:rPr>
          <w:rFonts w:ascii="OptimaLT-Black" w:hAnsi="OptimaLT-Black" w:cs="OptimaLT-Black"/>
          <w:b/>
          <w:color w:val="231F20"/>
          <w:szCs w:val="22"/>
        </w:rPr>
        <w:lastRenderedPageBreak/>
        <w:t>Case study:</w:t>
      </w:r>
    </w:p>
    <w:p w14:paraId="29749AC9" w14:textId="77D313A0" w:rsidR="00016D07" w:rsidRPr="008D21A1" w:rsidRDefault="00016D07" w:rsidP="00016D07">
      <w:pPr>
        <w:shd w:val="clear" w:color="auto" w:fill="E2EFD9" w:themeFill="accent6" w:themeFillTint="33"/>
        <w:autoSpaceDE w:val="0"/>
        <w:autoSpaceDN w:val="0"/>
        <w:adjustRightInd w:val="0"/>
        <w:spacing w:after="0" w:line="240" w:lineRule="auto"/>
        <w:jc w:val="center"/>
        <w:rPr>
          <w:rFonts w:ascii="OptimaLT-Black" w:hAnsi="OptimaLT-Black" w:cs="OptimaLT-Black"/>
          <w:b/>
          <w:color w:val="231F20"/>
          <w:szCs w:val="22"/>
        </w:rPr>
      </w:pPr>
      <w:r w:rsidRPr="008D21A1">
        <w:rPr>
          <w:rFonts w:ascii="OptimaLT-Black" w:hAnsi="OptimaLT-Black" w:cs="OptimaLT-Black"/>
          <w:b/>
          <w:color w:val="231F20"/>
          <w:szCs w:val="22"/>
        </w:rPr>
        <w:t xml:space="preserve">Market correction — </w:t>
      </w:r>
      <w:proofErr w:type="spellStart"/>
      <w:r w:rsidRPr="008D21A1">
        <w:rPr>
          <w:rFonts w:ascii="OptimaLT-Black" w:hAnsi="OptimaLT-Black" w:cs="OptimaLT-Black"/>
          <w:b/>
          <w:color w:val="231F20"/>
          <w:szCs w:val="22"/>
        </w:rPr>
        <w:t>Lupini</w:t>
      </w:r>
      <w:proofErr w:type="spellEnd"/>
      <w:r w:rsidRPr="008D21A1">
        <w:rPr>
          <w:rFonts w:ascii="OptimaLT-Black" w:hAnsi="OptimaLT-Black" w:cs="OptimaLT-Black"/>
          <w:b/>
          <w:color w:val="231F20"/>
          <w:szCs w:val="22"/>
        </w:rPr>
        <w:t xml:space="preserve"> beans</w:t>
      </w:r>
    </w:p>
    <w:p w14:paraId="7962DFC4" w14:textId="77777777" w:rsidR="00016D07" w:rsidRDefault="00016D07" w:rsidP="00016D07">
      <w:pPr>
        <w:shd w:val="clear" w:color="auto" w:fill="E2EFD9" w:themeFill="accent6" w:themeFillTint="33"/>
      </w:pPr>
      <w:r w:rsidRPr="008D21A1">
        <w:t xml:space="preserve">Wild forms of the broadleaf lupin </w:t>
      </w:r>
      <w:r w:rsidRPr="008D21A1">
        <w:rPr>
          <w:i/>
        </w:rPr>
        <w:t>Lupinus albus</w:t>
      </w:r>
      <w:r w:rsidRPr="008D21A1">
        <w:t xml:space="preserve"> contain high levels of bitter tasting</w:t>
      </w:r>
      <w:r>
        <w:t xml:space="preserve"> </w:t>
      </w:r>
      <w:r w:rsidRPr="008D21A1">
        <w:t>alkaloids. Once introduced into a sweet variety, outcrossing will cause</w:t>
      </w:r>
      <w:r>
        <w:t xml:space="preserve"> </w:t>
      </w:r>
      <w:r w:rsidRPr="008D21A1">
        <w:t>the bitter gene frequency to increase with each season. In the 1990s the</w:t>
      </w:r>
      <w:r>
        <w:t xml:space="preserve"> </w:t>
      </w:r>
      <w:r w:rsidRPr="008D21A1">
        <w:t xml:space="preserve">Australian lupins became too </w:t>
      </w:r>
      <w:proofErr w:type="gramStart"/>
      <w:r w:rsidRPr="008D21A1">
        <w:t>bitter</w:t>
      </w:r>
      <w:proofErr w:type="gramEnd"/>
      <w:r w:rsidRPr="008D21A1">
        <w:t xml:space="preserve"> and consumers reacted negatively to the</w:t>
      </w:r>
      <w:r>
        <w:t xml:space="preserve"> </w:t>
      </w:r>
      <w:r w:rsidRPr="008D21A1">
        <w:t xml:space="preserve">product. The </w:t>
      </w:r>
      <w:r w:rsidRPr="008D21A1">
        <w:rPr>
          <w:i/>
        </w:rPr>
        <w:t>albus</w:t>
      </w:r>
      <w:r w:rsidRPr="008D21A1">
        <w:t xml:space="preserve"> industry put in place a management plan to reduce bitter</w:t>
      </w:r>
      <w:r>
        <w:t xml:space="preserve"> </w:t>
      </w:r>
      <w:r w:rsidRPr="008D21A1">
        <w:t>contamination in sweet crops. The management plan included such protocols</w:t>
      </w:r>
      <w:r>
        <w:t xml:space="preserve"> </w:t>
      </w:r>
      <w:r w:rsidRPr="008D21A1">
        <w:t xml:space="preserve">as paddocks should be free of any volunteer </w:t>
      </w:r>
      <w:proofErr w:type="spellStart"/>
      <w:r w:rsidRPr="008D21A1">
        <w:t>lupini</w:t>
      </w:r>
      <w:proofErr w:type="spellEnd"/>
      <w:r w:rsidRPr="008D21A1">
        <w:t xml:space="preserve"> bean plants for a minimum</w:t>
      </w:r>
      <w:r>
        <w:t xml:space="preserve"> </w:t>
      </w:r>
      <w:r w:rsidRPr="008D21A1">
        <w:t xml:space="preserve">of 2 years before considering a following </w:t>
      </w:r>
      <w:r w:rsidRPr="008D21A1">
        <w:rPr>
          <w:i/>
        </w:rPr>
        <w:t>albus</w:t>
      </w:r>
      <w:r w:rsidRPr="008D21A1">
        <w:t xml:space="preserve"> crop and a 2 km isolation from</w:t>
      </w:r>
      <w:r>
        <w:t xml:space="preserve"> </w:t>
      </w:r>
      <w:r w:rsidRPr="008D21A1">
        <w:t xml:space="preserve">any sweet </w:t>
      </w:r>
      <w:r w:rsidRPr="008D21A1">
        <w:rPr>
          <w:i/>
        </w:rPr>
        <w:t>albus</w:t>
      </w:r>
      <w:r w:rsidRPr="008D21A1">
        <w:t xml:space="preserve"> crop. After the successful implementation of this management</w:t>
      </w:r>
      <w:r>
        <w:t xml:space="preserve"> </w:t>
      </w:r>
      <w:r w:rsidRPr="008D21A1">
        <w:t xml:space="preserve">plan, the Australian </w:t>
      </w:r>
      <w:r w:rsidRPr="008D21A1">
        <w:rPr>
          <w:i/>
        </w:rPr>
        <w:t>albus</w:t>
      </w:r>
      <w:r w:rsidRPr="008D21A1">
        <w:t xml:space="preserve"> is producing sweet lupins again and consumer</w:t>
      </w:r>
      <w:r>
        <w:t xml:space="preserve"> </w:t>
      </w:r>
      <w:r w:rsidRPr="008D21A1">
        <w:t>demand has increased</w:t>
      </w:r>
      <w:r>
        <w:rPr>
          <w:rFonts w:ascii="StoneSerifLT" w:hAnsi="StoneSerifLT" w:cs="StoneSerifLT"/>
          <w:color w:val="231F20"/>
          <w:sz w:val="18"/>
          <w:szCs w:val="18"/>
        </w:rPr>
        <w:t>.</w:t>
      </w:r>
    </w:p>
    <w:p w14:paraId="676D4802" w14:textId="77777777" w:rsidR="008D21A1" w:rsidRPr="006F67E5" w:rsidRDefault="008D21A1" w:rsidP="006F67E5">
      <w:r w:rsidRPr="006F67E5">
        <w:t xml:space="preserve">On the other hand, </w:t>
      </w:r>
      <w:proofErr w:type="gramStart"/>
      <w:r w:rsidRPr="006F67E5">
        <w:t>a number of</w:t>
      </w:r>
      <w:proofErr w:type="gramEnd"/>
      <w:r w:rsidRPr="006F67E5">
        <w:t xml:space="preserve"> submissions from NGOs, consumer groups and farming groups opposed to the introduction of GMO crops argued that the scope of the Act should be extended to require examination of economic, trade and marketing, and social and cultural impacts in reaching a decision whether or not to approve release of a GMO.</w:t>
      </w:r>
    </w:p>
    <w:p w14:paraId="66706F02" w14:textId="77777777" w:rsidR="008D21A1" w:rsidRPr="006F67E5" w:rsidRDefault="008D21A1" w:rsidP="006F67E5">
      <w:r w:rsidRPr="006F67E5">
        <w:t xml:space="preserve">These groups believed that the cultivation of GMOs in Australia would lead to ‘contamination’ of non-GMO crops, and could lead to erosion of Australia’s ‘clean, green’ image in overseas markets. These effects would lead to difficulties with market access and the prices paid for Australian products, and these economic and market impacts should be </w:t>
      </w:r>
      <w:proofErr w:type="gramStart"/>
      <w:r w:rsidRPr="006F67E5">
        <w:t>taken into account</w:t>
      </w:r>
      <w:proofErr w:type="gramEnd"/>
      <w:r w:rsidRPr="006F67E5">
        <w:t xml:space="preserve"> in deciding whether or not to release a GMO.</w:t>
      </w:r>
    </w:p>
    <w:p w14:paraId="025F8A5B" w14:textId="77777777" w:rsidR="008D21A1" w:rsidRPr="006F67E5" w:rsidRDefault="008D21A1" w:rsidP="006F67E5">
      <w:r w:rsidRPr="006F67E5">
        <w:t>These views were also expressed in meetings with stakeholders and in public consultations. During these meetings the Review asked participants who supported consideration of economic and market impacts to suggest how these could be reflected in the assessment of specific applications by the Regulator. However, no relevant operational examples were identified.</w:t>
      </w:r>
    </w:p>
    <w:p w14:paraId="264B6461" w14:textId="77777777" w:rsidR="008D21A1" w:rsidRPr="006F67E5" w:rsidRDefault="008D21A1" w:rsidP="006F67E5">
      <w:r w:rsidRPr="006F67E5">
        <w:t>In considering this issue, the Review also examined the scope of the agencies with a role in regulating gene technology such as National Industrial Chemicals Notification and Assessment (NICNAS), TGA, APVMA, FSANZ and AQIS (referred to as other regulatory agencies in this report). These systems focus on safety, efficacy (where explicit or implicit claims are made about the worth of the product) and international trade (in the case of APVMA).</w:t>
      </w:r>
    </w:p>
    <w:p w14:paraId="3556B43C" w14:textId="77777777" w:rsidR="008D21A1" w:rsidRPr="006F67E5" w:rsidRDefault="008D21A1" w:rsidP="006F67E5">
      <w:r w:rsidRPr="006F67E5">
        <w:t xml:space="preserve">The Review considered whether there was any basis for concluding that the </w:t>
      </w:r>
      <w:proofErr w:type="gramStart"/>
      <w:r w:rsidRPr="006F67E5">
        <w:t>particular characteristics</w:t>
      </w:r>
      <w:proofErr w:type="gramEnd"/>
      <w:r w:rsidRPr="006F67E5">
        <w:t xml:space="preserve"> of GMOs were such that their assessment should be extended but found no compelling case for extension. On balance, the Review concluded that the policy objective of the Act should remain the protection of health and safety of people and the environment.</w:t>
      </w:r>
    </w:p>
    <w:p w14:paraId="5A4D27DB" w14:textId="6745212C" w:rsidR="008D21A1" w:rsidRPr="00694EF4" w:rsidRDefault="008D21A1" w:rsidP="00016D07">
      <w:pPr>
        <w:pStyle w:val="Heading2"/>
      </w:pPr>
      <w:bookmarkStart w:id="32" w:name="_Toc95326266"/>
      <w:r w:rsidRPr="00694EF4">
        <w:t>Benefit assessment</w:t>
      </w:r>
      <w:bookmarkEnd w:id="32"/>
    </w:p>
    <w:p w14:paraId="5CFED007" w14:textId="77777777" w:rsidR="008D21A1" w:rsidRPr="006F67E5" w:rsidRDefault="008D21A1" w:rsidP="006F67E5">
      <w:r w:rsidRPr="006F67E5">
        <w:t>A closely related issue to that of widening the scope of the Act to include economic and other impacts is whether the Regulator should have regard to the benefits as well as the risks of GMOs. While some submissions and participants in consultations argued that the Regulator should have regard to benefits as well as risks, most regarded such an extension as impractical or undesirable.</w:t>
      </w:r>
    </w:p>
    <w:p w14:paraId="367F83B8" w14:textId="77777777" w:rsidR="008D21A1" w:rsidRPr="006F67E5" w:rsidRDefault="008D21A1" w:rsidP="006F67E5">
      <w:r w:rsidRPr="006F67E5">
        <w:t>It was considered impractical on several grounds. Firstly, the existence or scale of many benefits did not become apparent for some years after the GMO was released.</w:t>
      </w:r>
    </w:p>
    <w:p w14:paraId="54ED0841" w14:textId="77777777" w:rsidR="008D21A1" w:rsidRPr="006F67E5" w:rsidRDefault="008D21A1" w:rsidP="006F67E5">
      <w:proofErr w:type="spellStart"/>
      <w:r w:rsidRPr="006F67E5">
        <w:lastRenderedPageBreak/>
        <w:t>Bt</w:t>
      </w:r>
      <w:proofErr w:type="spellEnd"/>
      <w:r w:rsidRPr="006F67E5">
        <w:t xml:space="preserve"> cotton was cited as an example of where new benefits are still being identified years after commercial release. Secondly, it would be very difficult to construct a calculus for measuring risk and benefit in the same time frame and dimension. During the consultations, an individual observed that while it might be possible to make sense of risks and benefits in the same aspect of a GMO’s impact on health or the environment, trying to compare risks and benefits across different aspects would lead the Regulator up blind allies and be unworkable.</w:t>
      </w:r>
    </w:p>
    <w:p w14:paraId="24627A5C" w14:textId="77777777" w:rsidR="008D21A1" w:rsidRPr="006F67E5" w:rsidRDefault="008D21A1" w:rsidP="006F67E5">
      <w:r w:rsidRPr="006F67E5">
        <w:t>Many groups opposed to the release of GMOs argued consideration of benefits was undesirable because it might result in presumed benefits outweighing risks. At the same time some proponents of GMOs argued against consideration of benefits on the basis that it would be seen to compromise the scientific c approach to risk assessment by the Regulator.</w:t>
      </w:r>
    </w:p>
    <w:p w14:paraId="70FCDF9B" w14:textId="77777777" w:rsidR="002046B7" w:rsidRPr="006F67E5" w:rsidRDefault="008D21A1" w:rsidP="006F67E5">
      <w:r w:rsidRPr="006F67E5">
        <w:t>The Review concluded that the risk assessment process contemplated by the Act</w:t>
      </w:r>
      <w:r w:rsidR="002F540B" w:rsidRPr="006F67E5">
        <w:t xml:space="preserve"> </w:t>
      </w:r>
      <w:r w:rsidRPr="006F67E5">
        <w:t xml:space="preserve">should not be </w:t>
      </w:r>
      <w:r w:rsidR="002F540B" w:rsidRPr="006F67E5">
        <w:t>modifi</w:t>
      </w:r>
      <w:r w:rsidRPr="006F67E5">
        <w:t>ed to a risk-</w:t>
      </w:r>
      <w:r w:rsidR="002F540B" w:rsidRPr="006F67E5">
        <w:t>benefit</w:t>
      </w:r>
      <w:r w:rsidRPr="006F67E5">
        <w:t xml:space="preserve"> assessment.</w:t>
      </w:r>
    </w:p>
    <w:p w14:paraId="01C8E694" w14:textId="77777777" w:rsidR="00016D07" w:rsidRDefault="002F540B" w:rsidP="00016D07">
      <w:pPr>
        <w:pStyle w:val="Heading2"/>
      </w:pPr>
      <w:bookmarkStart w:id="33" w:name="_Toc95326267"/>
      <w:r w:rsidRPr="00694EF4">
        <w:t>Efficacy</w:t>
      </w:r>
      <w:bookmarkEnd w:id="33"/>
    </w:p>
    <w:p w14:paraId="1C030B28" w14:textId="16101381" w:rsidR="002F540B" w:rsidRPr="006F67E5" w:rsidRDefault="002F540B" w:rsidP="006F67E5">
      <w:r w:rsidRPr="006F67E5">
        <w:t>One submission suggested that for the special case of GM pesticidal crops, the responsibility for assessing the pesticide should be removed from the APVMA so that the sole responsibility for approving these crops would lie with the Regulator.</w:t>
      </w:r>
    </w:p>
    <w:p w14:paraId="3BCFB32E" w14:textId="77777777" w:rsidR="002F540B" w:rsidRPr="006F67E5" w:rsidRDefault="002F540B" w:rsidP="006F67E5">
      <w:r w:rsidRPr="006F67E5">
        <w:t>This submission noted that as APVMA currently includes an assessment of efficacy for pesticides, the Regulator should then be required to assess efficacy for this group of GMOs.</w:t>
      </w:r>
    </w:p>
    <w:p w14:paraId="2A19C7A6" w14:textId="77777777" w:rsidR="002F540B" w:rsidRPr="006F67E5" w:rsidRDefault="002F540B" w:rsidP="006F67E5">
      <w:r w:rsidRPr="006F67E5">
        <w:t>The Review found that inclusion of consideration of efficacy was not consistent with the finding that the policy objectives should maintain their focus on health and safety of people and the environment.</w:t>
      </w:r>
    </w:p>
    <w:p w14:paraId="3A0D0046" w14:textId="77777777" w:rsidR="002F540B" w:rsidRPr="009A677E" w:rsidRDefault="002F540B" w:rsidP="009A677E">
      <w:pPr>
        <w:pStyle w:val="Recommendation"/>
      </w:pPr>
      <w:r w:rsidRPr="009A677E">
        <w:t>Recommendation 3.1: The Review concluded that the policy objectives remain valid and recommends that the scope of the Act should be maintained.</w:t>
      </w:r>
    </w:p>
    <w:p w14:paraId="1FD05686" w14:textId="13425D69" w:rsidR="002F540B" w:rsidRPr="00694EF4" w:rsidRDefault="002F540B" w:rsidP="00016D07">
      <w:pPr>
        <w:pStyle w:val="Heading2"/>
      </w:pPr>
      <w:bookmarkStart w:id="34" w:name="_Toc95326268"/>
      <w:r w:rsidRPr="00694EF4">
        <w:t>Definitions in the Act</w:t>
      </w:r>
      <w:bookmarkEnd w:id="34"/>
    </w:p>
    <w:p w14:paraId="16940509" w14:textId="77777777" w:rsidR="002F540B" w:rsidRPr="006F67E5" w:rsidRDefault="002F540B" w:rsidP="006F67E5">
      <w:r w:rsidRPr="006F67E5">
        <w:t xml:space="preserve">Paragraph (b) of the first </w:t>
      </w:r>
      <w:proofErr w:type="spellStart"/>
      <w:r w:rsidRPr="006F67E5">
        <w:t>ToR</w:t>
      </w:r>
      <w:proofErr w:type="spellEnd"/>
      <w:r w:rsidRPr="006F67E5">
        <w:t xml:space="preserve"> requires the Review to examine definitions used in the Act, including </w:t>
      </w:r>
      <w:proofErr w:type="gramStart"/>
      <w:r w:rsidRPr="006F67E5">
        <w:t>in particular the</w:t>
      </w:r>
      <w:proofErr w:type="gramEnd"/>
      <w:r w:rsidRPr="006F67E5">
        <w:t xml:space="preserve"> definition of ‘the environment’ and the lack of a definition of ‘health’.</w:t>
      </w:r>
    </w:p>
    <w:p w14:paraId="4791E025" w14:textId="77777777" w:rsidR="002F540B" w:rsidRPr="006F67E5" w:rsidRDefault="002F540B" w:rsidP="006F67E5">
      <w:r w:rsidRPr="006F67E5">
        <w:t>The environment is defined in section 10 of the Act as including:</w:t>
      </w:r>
    </w:p>
    <w:p w14:paraId="4250B5EC" w14:textId="77777777" w:rsidR="002F540B" w:rsidRPr="006F67E5" w:rsidRDefault="002F540B" w:rsidP="006F67E5">
      <w:r w:rsidRPr="006F67E5">
        <w:t>(a) ecosystems and their constituent parts; and</w:t>
      </w:r>
    </w:p>
    <w:p w14:paraId="2D5FE757" w14:textId="77777777" w:rsidR="002F540B" w:rsidRPr="006F67E5" w:rsidRDefault="002F540B" w:rsidP="006F67E5">
      <w:r w:rsidRPr="006F67E5">
        <w:t>(b) natural and physical resources; and</w:t>
      </w:r>
    </w:p>
    <w:p w14:paraId="533ACED1" w14:textId="77777777" w:rsidR="002F540B" w:rsidRPr="006F67E5" w:rsidRDefault="002F540B" w:rsidP="006F67E5">
      <w:r w:rsidRPr="006F67E5">
        <w:t xml:space="preserve">(c) the qualities and characteristics of locations, </w:t>
      </w:r>
      <w:proofErr w:type="gramStart"/>
      <w:r w:rsidRPr="006F67E5">
        <w:t>places</w:t>
      </w:r>
      <w:proofErr w:type="gramEnd"/>
      <w:r w:rsidRPr="006F67E5">
        <w:t xml:space="preserve"> and areas.</w:t>
      </w:r>
    </w:p>
    <w:p w14:paraId="01D8DFD7" w14:textId="77777777" w:rsidR="002F540B" w:rsidRPr="006F67E5" w:rsidRDefault="002F540B" w:rsidP="006F67E5">
      <w:r w:rsidRPr="006F67E5">
        <w:t>This differs from section 528 of the Environment Protection and Biodiversity Conservation</w:t>
      </w:r>
    </w:p>
    <w:p w14:paraId="780FE4D6" w14:textId="77777777" w:rsidR="002F540B" w:rsidRPr="006F67E5" w:rsidRDefault="002F540B" w:rsidP="006F67E5">
      <w:r w:rsidRPr="006F67E5">
        <w:t>Act 1999 (the EPBC Act) which defines the environment as including:</w:t>
      </w:r>
    </w:p>
    <w:p w14:paraId="14CAEC9E" w14:textId="77777777" w:rsidR="002F540B" w:rsidRPr="006F67E5" w:rsidRDefault="002F540B" w:rsidP="006F67E5">
      <w:r w:rsidRPr="006F67E5">
        <w:t>(a) ecosystems and their constituent parts; and</w:t>
      </w:r>
    </w:p>
    <w:p w14:paraId="47E43227" w14:textId="77777777" w:rsidR="002F540B" w:rsidRPr="006F67E5" w:rsidRDefault="002F540B" w:rsidP="006F67E5">
      <w:r w:rsidRPr="006F67E5">
        <w:t>(b) natural and physical resources; and</w:t>
      </w:r>
    </w:p>
    <w:p w14:paraId="1864EA52" w14:textId="77777777" w:rsidR="002F540B" w:rsidRPr="006F67E5" w:rsidRDefault="002F540B" w:rsidP="006F67E5">
      <w:r w:rsidRPr="006F67E5">
        <w:t xml:space="preserve">(c) the qualities and characteristics of locations, </w:t>
      </w:r>
      <w:proofErr w:type="gramStart"/>
      <w:r w:rsidRPr="006F67E5">
        <w:t>places</w:t>
      </w:r>
      <w:proofErr w:type="gramEnd"/>
      <w:r w:rsidRPr="006F67E5">
        <w:t xml:space="preserve"> and areas; and</w:t>
      </w:r>
    </w:p>
    <w:p w14:paraId="727E11B2" w14:textId="77777777" w:rsidR="002F540B" w:rsidRPr="006F67E5" w:rsidRDefault="002F540B" w:rsidP="006F67E5">
      <w:r w:rsidRPr="006F67E5">
        <w:t>(d) heritage values of places; and</w:t>
      </w:r>
    </w:p>
    <w:p w14:paraId="6979C58F" w14:textId="77777777" w:rsidR="002F540B" w:rsidRPr="006F67E5" w:rsidRDefault="002F540B" w:rsidP="006F67E5">
      <w:r w:rsidRPr="006F67E5">
        <w:t xml:space="preserve">(e) the social, </w:t>
      </w:r>
      <w:proofErr w:type="gramStart"/>
      <w:r w:rsidRPr="006F67E5">
        <w:t>economic</w:t>
      </w:r>
      <w:proofErr w:type="gramEnd"/>
      <w:r w:rsidRPr="006F67E5">
        <w:t xml:space="preserve"> and cultural aspects of a thing mentioned in paragraph</w:t>
      </w:r>
    </w:p>
    <w:p w14:paraId="7F9CEE5D" w14:textId="77777777" w:rsidR="002F540B" w:rsidRPr="006F67E5" w:rsidRDefault="002F540B" w:rsidP="006F67E5">
      <w:r w:rsidRPr="006F67E5">
        <w:lastRenderedPageBreak/>
        <w:t>(a), (b) or (c).</w:t>
      </w:r>
    </w:p>
    <w:p w14:paraId="427169CF" w14:textId="77777777" w:rsidR="002F540B" w:rsidRPr="006F67E5" w:rsidRDefault="002F540B" w:rsidP="006F67E5">
      <w:proofErr w:type="gramStart"/>
      <w:r w:rsidRPr="006F67E5">
        <w:t>A number of</w:t>
      </w:r>
      <w:proofErr w:type="gramEnd"/>
      <w:r w:rsidRPr="006F67E5">
        <w:t xml:space="preserve"> submissions to the Review suggested that the Act should be amended to adopt the wider definition in the EPBC Act, implicitly requiring the Regulator to have regard to social, economic and cultural impacts of GMOs.</w:t>
      </w:r>
    </w:p>
    <w:p w14:paraId="13F50624" w14:textId="77777777" w:rsidR="002F540B" w:rsidRPr="006F67E5" w:rsidRDefault="002F540B" w:rsidP="006F67E5">
      <w:r w:rsidRPr="006F67E5">
        <w:t>The Review concluded that given its recommendation that the scope of the Act should not be widened to include economic and social impacts, it followed that the definition of the environment should not be widened.</w:t>
      </w:r>
    </w:p>
    <w:p w14:paraId="39F941AF" w14:textId="77777777" w:rsidR="002F540B" w:rsidRPr="006F67E5" w:rsidRDefault="002F540B" w:rsidP="006F67E5">
      <w:r w:rsidRPr="006F67E5">
        <w:t xml:space="preserve">While the object of the Act is to protect the health and safety of people, the term ‘health’ is not defined. </w:t>
      </w:r>
      <w:proofErr w:type="gramStart"/>
      <w:r w:rsidRPr="006F67E5">
        <w:t>A number of</w:t>
      </w:r>
      <w:proofErr w:type="gramEnd"/>
      <w:r w:rsidRPr="006F67E5">
        <w:t xml:space="preserve"> submissions suggested that the term should be defined, and suggested a definition drawn from the World Health Organization (WHO) constitution:</w:t>
      </w:r>
    </w:p>
    <w:p w14:paraId="2A59AFAA" w14:textId="77777777" w:rsidR="002F540B" w:rsidRPr="006F67E5" w:rsidRDefault="002F540B" w:rsidP="006F67E5">
      <w:pPr>
        <w:ind w:left="720"/>
        <w:rPr>
          <w:i/>
          <w:iCs/>
        </w:rPr>
      </w:pPr>
      <w:r w:rsidRPr="006F67E5">
        <w:rPr>
          <w:i/>
          <w:iCs/>
        </w:rPr>
        <w:t xml:space="preserve">Health is the state of complete physical, </w:t>
      </w:r>
      <w:proofErr w:type="gramStart"/>
      <w:r w:rsidRPr="006F67E5">
        <w:rPr>
          <w:i/>
          <w:iCs/>
        </w:rPr>
        <w:t>mental</w:t>
      </w:r>
      <w:proofErr w:type="gramEnd"/>
      <w:r w:rsidRPr="006F67E5">
        <w:rPr>
          <w:i/>
          <w:iCs/>
        </w:rPr>
        <w:t xml:space="preserve"> and social well-being and not merely the absence of disease or infirmity.</w:t>
      </w:r>
    </w:p>
    <w:p w14:paraId="4DB4E579" w14:textId="77777777" w:rsidR="002F540B" w:rsidRPr="006F67E5" w:rsidRDefault="002F540B" w:rsidP="006F67E5">
      <w:r w:rsidRPr="006F67E5">
        <w:t>The issue attracted little comment during the consultation phase of the Review.</w:t>
      </w:r>
    </w:p>
    <w:p w14:paraId="2FD42F32" w14:textId="77777777" w:rsidR="002F540B" w:rsidRPr="006F67E5" w:rsidRDefault="002F540B" w:rsidP="006F67E5">
      <w:r w:rsidRPr="006F67E5">
        <w:t>Several individuals suggested that the term should be defined on the basis that clarity is always a good thing; but among this group there was only one supporter of the WHO definition. There were several suggestions that ‘absence of disease’ was preferable to ‘a state of wellbeing’.</w:t>
      </w:r>
    </w:p>
    <w:p w14:paraId="7A235BA4" w14:textId="77777777" w:rsidR="002F540B" w:rsidRPr="006F67E5" w:rsidRDefault="002F540B" w:rsidP="006F67E5">
      <w:r w:rsidRPr="006F67E5">
        <w:t>The Review noted that the term is not defined anywhere in the Australian statute book. It also noted that no case had been made out that the absence of a definition was leading to uncertainty or ambiguity in the application of the Act. It thus concluded that there is no need to include a definition in the Act.</w:t>
      </w:r>
    </w:p>
    <w:p w14:paraId="397F918C" w14:textId="77777777" w:rsidR="002F540B" w:rsidRPr="006F67E5" w:rsidRDefault="002F540B" w:rsidP="006F67E5">
      <w:r w:rsidRPr="006F67E5">
        <w:t>One submission suggested that the Act should be amended to include a new definition for adventitious presence so that the unintended presence of an unlicensed GMO can be dealt with. The issue of unintended presence and how it can be more effectively managed in the Act is discussed in chapter 5.</w:t>
      </w:r>
    </w:p>
    <w:p w14:paraId="2F6604C3" w14:textId="77777777" w:rsidR="002F540B" w:rsidRPr="009A677E" w:rsidRDefault="002F540B" w:rsidP="009A677E">
      <w:pPr>
        <w:pStyle w:val="Recommendation"/>
      </w:pPr>
      <w:r w:rsidRPr="009A677E">
        <w:t>Recommendation 3.2: The Review recommends that the definitions in the Act remain unchanged.</w:t>
      </w:r>
    </w:p>
    <w:p w14:paraId="3AC422EB" w14:textId="77777777" w:rsidR="002F540B" w:rsidRPr="00694EF4" w:rsidRDefault="002F540B" w:rsidP="00016D07">
      <w:pPr>
        <w:pStyle w:val="Heading2"/>
      </w:pPr>
      <w:bookmarkStart w:id="35" w:name="_Toc95326269"/>
      <w:r w:rsidRPr="00694EF4">
        <w:t>Technologies and organisms covered by the Act</w:t>
      </w:r>
      <w:bookmarkEnd w:id="35"/>
    </w:p>
    <w:p w14:paraId="117C7734" w14:textId="77777777" w:rsidR="002F540B" w:rsidRPr="006F67E5" w:rsidRDefault="002F540B" w:rsidP="006F67E5">
      <w:r w:rsidRPr="006F67E5">
        <w:t>Paragraphs (c) and (d) of the first term of reference require the Review to consider the technologies and organisms covered by the Act and to consider a trait based or novel organism based regulatory scope. (Emerging technologies are discussed in chapter 8.)</w:t>
      </w:r>
    </w:p>
    <w:p w14:paraId="6EF5B398" w14:textId="7A7C4ACF" w:rsidR="002F540B" w:rsidRPr="006F67E5" w:rsidRDefault="002F540B" w:rsidP="006F67E5">
      <w:r w:rsidRPr="006F67E5">
        <w:t>The Act currently covers GMOs defined (in section 10) as organisms or descendants</w:t>
      </w:r>
      <w:r w:rsidR="00360A23" w:rsidRPr="006F67E5">
        <w:t xml:space="preserve"> </w:t>
      </w:r>
      <w:r w:rsidRPr="006F67E5">
        <w:t>of organisms that have been modified by gene technology, together with anything</w:t>
      </w:r>
      <w:r w:rsidR="00360A23" w:rsidRPr="006F67E5">
        <w:t xml:space="preserve"> </w:t>
      </w:r>
      <w:r w:rsidRPr="006F67E5">
        <w:t>declared by regulations made under the Act to be a GMO. It excludes human beings</w:t>
      </w:r>
      <w:r w:rsidR="00360A23" w:rsidRPr="006F67E5">
        <w:t xml:space="preserve"> </w:t>
      </w:r>
      <w:r w:rsidRPr="006F67E5">
        <w:t>who have undergone somatic cell therapy and organisms declared by regulations</w:t>
      </w:r>
      <w:r w:rsidR="00360A23" w:rsidRPr="006F67E5">
        <w:t xml:space="preserve"> </w:t>
      </w:r>
      <w:r w:rsidRPr="006F67E5">
        <w:t xml:space="preserve">not to be GMOs. </w:t>
      </w:r>
      <w:r w:rsidR="00360A23" w:rsidRPr="006F67E5">
        <w:t>Gene technology</w:t>
      </w:r>
      <w:r w:rsidRPr="006F67E5">
        <w:t xml:space="preserve"> is defined as any technique for the modification</w:t>
      </w:r>
      <w:r w:rsidR="00360A23" w:rsidRPr="006F67E5">
        <w:t xml:space="preserve"> </w:t>
      </w:r>
      <w:r w:rsidRPr="006F67E5">
        <w:t>of genes or other genetic material, apart from sexual reproduction, homologous</w:t>
      </w:r>
      <w:r w:rsidR="00360A23" w:rsidRPr="006F67E5">
        <w:t xml:space="preserve"> </w:t>
      </w:r>
      <w:r w:rsidRPr="006F67E5">
        <w:t>recombination and any technique specified in regulations to be excluded from the</w:t>
      </w:r>
      <w:r w:rsidR="00360A23" w:rsidRPr="006F67E5">
        <w:t xml:space="preserve"> </w:t>
      </w:r>
      <w:r w:rsidRPr="006F67E5">
        <w:t>scope of the Act. This means that the focus of the regulatory system is organisms</w:t>
      </w:r>
      <w:r w:rsidR="00360A23" w:rsidRPr="006F67E5">
        <w:t xml:space="preserve"> </w:t>
      </w:r>
      <w:r w:rsidRPr="006F67E5">
        <w:t>derived by a particular process (gene technology).</w:t>
      </w:r>
    </w:p>
    <w:p w14:paraId="62F7C6C7" w14:textId="77777777" w:rsidR="002F540B" w:rsidRPr="006F67E5" w:rsidRDefault="002F540B" w:rsidP="006F67E5">
      <w:r w:rsidRPr="006F67E5">
        <w:t>In contrast, New Zealand regulates novel organisms so that the focus of the regulatory</w:t>
      </w:r>
      <w:r w:rsidR="00360A23" w:rsidRPr="006F67E5">
        <w:t xml:space="preserve"> </w:t>
      </w:r>
      <w:r w:rsidRPr="006F67E5">
        <w:t>system is assessing organisms that have never been seen in New Zealand, whether they</w:t>
      </w:r>
      <w:r w:rsidR="00360A23" w:rsidRPr="006F67E5">
        <w:t xml:space="preserve"> </w:t>
      </w:r>
      <w:r w:rsidRPr="006F67E5">
        <w:t>are naturally occurring or derived by a technological process. The Canadian system</w:t>
      </w:r>
      <w:r w:rsidR="00360A23" w:rsidRPr="006F67E5">
        <w:t xml:space="preserve"> </w:t>
      </w:r>
      <w:r w:rsidRPr="006F67E5">
        <w:t xml:space="preserve">focus is </w:t>
      </w:r>
      <w:r w:rsidRPr="006F67E5">
        <w:lastRenderedPageBreak/>
        <w:t>on the traits of the organism. For example, the trait of herbicide tolerance in</w:t>
      </w:r>
      <w:r w:rsidR="00360A23" w:rsidRPr="006F67E5">
        <w:t xml:space="preserve"> </w:t>
      </w:r>
      <w:r w:rsidRPr="006F67E5">
        <w:t>a crop, whether it occurs naturally or has been put into the crop by a technological</w:t>
      </w:r>
      <w:r w:rsidR="00360A23" w:rsidRPr="006F67E5">
        <w:t xml:space="preserve"> </w:t>
      </w:r>
      <w:r w:rsidRPr="006F67E5">
        <w:t>process. These regulatory systems are discussed in more detail in chapter 8.</w:t>
      </w:r>
    </w:p>
    <w:p w14:paraId="5691A42C" w14:textId="77777777" w:rsidR="002F540B" w:rsidRPr="006F67E5" w:rsidRDefault="002F540B" w:rsidP="006F67E5">
      <w:r w:rsidRPr="006F67E5">
        <w:t>Very few submissions addressed these issues. The Review did not have any evidence</w:t>
      </w:r>
      <w:r w:rsidR="00360A23" w:rsidRPr="006F67E5">
        <w:t xml:space="preserve"> </w:t>
      </w:r>
      <w:r w:rsidRPr="006F67E5">
        <w:t>presented to it that would necessitate a move to a novel organism approach.</w:t>
      </w:r>
    </w:p>
    <w:p w14:paraId="2C540AB2" w14:textId="77777777" w:rsidR="002F540B" w:rsidRPr="006F67E5" w:rsidRDefault="002F540B" w:rsidP="006F67E5">
      <w:r w:rsidRPr="006F67E5">
        <w:t xml:space="preserve">The Review noted that </w:t>
      </w:r>
      <w:proofErr w:type="gramStart"/>
      <w:r w:rsidRPr="006F67E5">
        <w:t>a number of</w:t>
      </w:r>
      <w:proofErr w:type="gramEnd"/>
      <w:r w:rsidRPr="006F67E5">
        <w:t xml:space="preserve"> submissions and participants in consultations</w:t>
      </w:r>
      <w:r w:rsidR="00360A23" w:rsidRPr="006F67E5">
        <w:t xml:space="preserve"> </w:t>
      </w:r>
      <w:r w:rsidRPr="006F67E5">
        <w:t>drew attention to the fact that there was no difference between the effective outcome</w:t>
      </w:r>
      <w:r w:rsidR="00360A23" w:rsidRPr="006F67E5">
        <w:t xml:space="preserve"> </w:t>
      </w:r>
      <w:r w:rsidRPr="006F67E5">
        <w:t>of gene technology and other plant breeding processes including selective breeding or</w:t>
      </w:r>
      <w:r w:rsidR="00360A23" w:rsidRPr="006F67E5">
        <w:t xml:space="preserve"> </w:t>
      </w:r>
      <w:r w:rsidRPr="006F67E5">
        <w:t xml:space="preserve">mutagenesis and yet only gene technology was subject to regulation. For example, </w:t>
      </w:r>
      <w:proofErr w:type="spellStart"/>
      <w:r w:rsidRPr="006F67E5">
        <w:t>tt</w:t>
      </w:r>
      <w:proofErr w:type="spellEnd"/>
      <w:r w:rsidR="00360A23" w:rsidRPr="006F67E5">
        <w:t xml:space="preserve"> </w:t>
      </w:r>
      <w:r w:rsidRPr="006F67E5">
        <w:t>(triazine tolerant) strains of canola had been developed through non-GM processes,</w:t>
      </w:r>
      <w:r w:rsidR="00360A23" w:rsidRPr="006F67E5">
        <w:t xml:space="preserve"> </w:t>
      </w:r>
      <w:r w:rsidRPr="006F67E5">
        <w:t>while glyphosate tolerant strains had been developed through gene technology.</w:t>
      </w:r>
      <w:r w:rsidR="00360A23" w:rsidRPr="006F67E5">
        <w:t xml:space="preserve"> </w:t>
      </w:r>
      <w:r w:rsidRPr="006F67E5">
        <w:t xml:space="preserve">The outcome was effectively the same: a canola variety unaffected by exposure to </w:t>
      </w:r>
      <w:proofErr w:type="gramStart"/>
      <w:r w:rsidRPr="006F67E5">
        <w:t>a</w:t>
      </w:r>
      <w:proofErr w:type="gramEnd"/>
      <w:r w:rsidR="00360A23" w:rsidRPr="006F67E5">
        <w:t xml:space="preserve"> </w:t>
      </w:r>
      <w:r w:rsidRPr="006F67E5">
        <w:t xml:space="preserve">herbicide which controlled weeds in the crop. Under a trait-based approach, </w:t>
      </w:r>
      <w:proofErr w:type="spellStart"/>
      <w:r w:rsidRPr="006F67E5">
        <w:t>tt</w:t>
      </w:r>
      <w:proofErr w:type="spellEnd"/>
      <w:r w:rsidRPr="006F67E5">
        <w:t xml:space="preserve"> strains</w:t>
      </w:r>
      <w:r w:rsidR="00360A23" w:rsidRPr="006F67E5">
        <w:t xml:space="preserve"> </w:t>
      </w:r>
      <w:r w:rsidRPr="006F67E5">
        <w:t>and glyphosate tolerant strains would be subject to the same regulatory regime.</w:t>
      </w:r>
    </w:p>
    <w:p w14:paraId="2F2B18EB" w14:textId="77777777" w:rsidR="00360A23" w:rsidRPr="006F67E5" w:rsidRDefault="002F540B" w:rsidP="006F67E5">
      <w:r w:rsidRPr="006F67E5">
        <w:t>The Review noted that the focus and approach of the Act was thoroughly considered</w:t>
      </w:r>
      <w:r w:rsidR="00360A23" w:rsidRPr="006F67E5">
        <w:t xml:space="preserve"> </w:t>
      </w:r>
      <w:r w:rsidRPr="006F67E5">
        <w:t>during its development and concluded that there was no evidence presented to</w:t>
      </w:r>
      <w:r w:rsidR="00360A23" w:rsidRPr="006F67E5">
        <w:t xml:space="preserve"> </w:t>
      </w:r>
      <w:r w:rsidRPr="006F67E5">
        <w:t>warrant changing the current system.</w:t>
      </w:r>
    </w:p>
    <w:p w14:paraId="6D722A33" w14:textId="77777777" w:rsidR="00A85459" w:rsidRPr="009A677E" w:rsidRDefault="00A85459" w:rsidP="009A677E">
      <w:r w:rsidRPr="009A677E">
        <w:br w:type="page"/>
      </w:r>
    </w:p>
    <w:p w14:paraId="08C5BC5A" w14:textId="28D3EA4D" w:rsidR="00016D07" w:rsidRDefault="00A208DB" w:rsidP="00016D07">
      <w:pPr>
        <w:pStyle w:val="Heading1"/>
      </w:pPr>
      <w:bookmarkStart w:id="36" w:name="_Toc95326270"/>
      <w:r>
        <w:lastRenderedPageBreak/>
        <w:t xml:space="preserve">Chapter 4: </w:t>
      </w:r>
      <w:r w:rsidR="00016D07">
        <w:t>ACT ACHIEVING OBJECTS</w:t>
      </w:r>
      <w:bookmarkEnd w:id="36"/>
    </w:p>
    <w:p w14:paraId="2AC2871B" w14:textId="4C58E13D" w:rsidR="00016D07" w:rsidRPr="000B4132" w:rsidRDefault="00016D07" w:rsidP="000B4132">
      <w:pPr>
        <w:shd w:val="clear" w:color="auto" w:fill="E2EFD9" w:themeFill="accent6" w:themeFillTint="33"/>
        <w:rPr>
          <w:b/>
          <w:bCs/>
        </w:rPr>
      </w:pPr>
      <w:r w:rsidRPr="000B4132">
        <w:rPr>
          <w:b/>
          <w:bCs/>
        </w:rPr>
        <w:t>Term of reference 2:</w:t>
      </w:r>
    </w:p>
    <w:p w14:paraId="03C5E5B6" w14:textId="77777777" w:rsidR="00016D07" w:rsidRPr="006F67E5" w:rsidRDefault="00016D07" w:rsidP="006F67E5">
      <w:pPr>
        <w:shd w:val="clear" w:color="auto" w:fill="E2EFD9" w:themeFill="accent6" w:themeFillTint="33"/>
      </w:pPr>
      <w:r w:rsidRPr="006F67E5">
        <w:t>Investigate whether the object of the Act is being achieved and whether the regulatory framework stipulated in section 4 of the Act is still appropriate.</w:t>
      </w:r>
    </w:p>
    <w:p w14:paraId="39FBA3F2" w14:textId="77777777" w:rsidR="00360A23" w:rsidRPr="00694EF4" w:rsidRDefault="00360A23" w:rsidP="00016D07">
      <w:pPr>
        <w:pStyle w:val="Heading2"/>
      </w:pPr>
      <w:bookmarkStart w:id="37" w:name="_Toc95326271"/>
      <w:r w:rsidRPr="00694EF4">
        <w:t>Object of Act being achieved</w:t>
      </w:r>
      <w:bookmarkEnd w:id="37"/>
    </w:p>
    <w:p w14:paraId="05CD4A44" w14:textId="77777777" w:rsidR="00360A23" w:rsidRPr="00694EF4" w:rsidRDefault="00360A23" w:rsidP="006F67E5">
      <w:r w:rsidRPr="00694EF4">
        <w:t xml:space="preserve">In </w:t>
      </w:r>
      <w:r w:rsidRPr="006F67E5">
        <w:t>considering</w:t>
      </w:r>
      <w:r w:rsidRPr="00694EF4">
        <w:t xml:space="preserve"> </w:t>
      </w:r>
      <w:proofErr w:type="gramStart"/>
      <w:r w:rsidRPr="00694EF4">
        <w:t>whether or not</w:t>
      </w:r>
      <w:proofErr w:type="gramEnd"/>
      <w:r w:rsidRPr="00694EF4">
        <w:t xml:space="preserve"> the object of the Act is being achieved, the Review examined all the terms of reference and then made an overall assessment. Having considered all the material in this report, the Review concluded that the object is being achieved.</w:t>
      </w:r>
    </w:p>
    <w:p w14:paraId="2FA6D3E4" w14:textId="54569653" w:rsidR="00360A23" w:rsidRPr="00694EF4" w:rsidRDefault="00360A23" w:rsidP="00016D07">
      <w:pPr>
        <w:pStyle w:val="Heading2"/>
      </w:pPr>
      <w:bookmarkStart w:id="38" w:name="_Toc95326272"/>
      <w:r w:rsidRPr="00694EF4">
        <w:t>An appropriate regulatory framework</w:t>
      </w:r>
      <w:bookmarkEnd w:id="38"/>
    </w:p>
    <w:p w14:paraId="2E1BACB8" w14:textId="77777777" w:rsidR="00360A23" w:rsidRPr="006F67E5" w:rsidRDefault="00360A23" w:rsidP="006F67E5">
      <w:r w:rsidRPr="006F67E5">
        <w:t>Section 4 of the Act provides that:</w:t>
      </w:r>
    </w:p>
    <w:p w14:paraId="76BDCEFB" w14:textId="77777777" w:rsidR="00360A23" w:rsidRPr="006F67E5" w:rsidRDefault="00360A23" w:rsidP="006F67E5">
      <w:r w:rsidRPr="006F67E5">
        <w:t>The object of this Act is to be achieved through a regulatory framework which:</w:t>
      </w:r>
    </w:p>
    <w:p w14:paraId="6ABA5F9A" w14:textId="77777777" w:rsidR="00360A23" w:rsidRPr="006F67E5" w:rsidRDefault="00360A23" w:rsidP="006F67E5">
      <w:r w:rsidRPr="006F67E5">
        <w:t>(aa) provides that where there are threats of serious or irreversible environmental damage, a lack of full scientific certainty should not be used as a reason for postponing cost-effective measures to prevent environmental degradation; and</w:t>
      </w:r>
    </w:p>
    <w:p w14:paraId="0AF290DB" w14:textId="77777777" w:rsidR="00360A23" w:rsidRPr="006F67E5" w:rsidRDefault="00360A23" w:rsidP="006F67E5">
      <w:r w:rsidRPr="006F67E5">
        <w:t>(a) provides an efficient and effective system for the application of gene technologies; and</w:t>
      </w:r>
    </w:p>
    <w:p w14:paraId="16ABE958" w14:textId="77777777" w:rsidR="00360A23" w:rsidRPr="006F67E5" w:rsidRDefault="00360A23" w:rsidP="006F67E5">
      <w:r w:rsidRPr="006F67E5">
        <w:t>(b) operates in conjunction with other Commonwealth and State regulatory schemes relevant to GMOs and GM products.</w:t>
      </w:r>
    </w:p>
    <w:p w14:paraId="5C2388E5" w14:textId="77777777" w:rsidR="00360A23" w:rsidRPr="006F67E5" w:rsidRDefault="00360A23" w:rsidP="006F67E5">
      <w:pPr>
        <w:ind w:left="720"/>
        <w:rPr>
          <w:i/>
          <w:iCs/>
        </w:rPr>
      </w:pPr>
      <w:r w:rsidRPr="006F67E5">
        <w:rPr>
          <w:i/>
          <w:iCs/>
        </w:rPr>
        <w:t xml:space="preserve">Note: Examples of the schemes mentioned in paragraph (b) are those that regulate food, agricultural and veterinary chemicals, industrial </w:t>
      </w:r>
      <w:proofErr w:type="gramStart"/>
      <w:r w:rsidRPr="006F67E5">
        <w:rPr>
          <w:i/>
          <w:iCs/>
        </w:rPr>
        <w:t>chemicals</w:t>
      </w:r>
      <w:proofErr w:type="gramEnd"/>
      <w:r w:rsidRPr="006F67E5">
        <w:rPr>
          <w:i/>
          <w:iCs/>
        </w:rPr>
        <w:t xml:space="preserve"> and therapeutic goods.</w:t>
      </w:r>
    </w:p>
    <w:p w14:paraId="062B53BB" w14:textId="77777777" w:rsidR="00360A23" w:rsidRPr="006F67E5" w:rsidRDefault="00360A23" w:rsidP="006F67E5">
      <w:r w:rsidRPr="006F67E5">
        <w:t xml:space="preserve">This chapter focuses on paragraph 4 (aa), known as the precautionary principle; looks at </w:t>
      </w:r>
      <w:proofErr w:type="gramStart"/>
      <w:r w:rsidRPr="006F67E5">
        <w:t>whether or not</w:t>
      </w:r>
      <w:proofErr w:type="gramEnd"/>
      <w:r w:rsidRPr="006F67E5">
        <w:t xml:space="preserve"> there is a need to introduce a strict liability regime or mandatory insurance; and assesses whether or not some changes to the regulatory system to address effectiveness and efficiency are required. Other chapters also address efficiency and effectiveness of the system. The operation of the Act in conjunction with other Commonwealth and State regulatory schemes relevant to GMOs and GM products is addressed in chapter 7.</w:t>
      </w:r>
    </w:p>
    <w:p w14:paraId="4737D70B" w14:textId="77777777" w:rsidR="00360A23" w:rsidRPr="006F67E5" w:rsidRDefault="00360A23" w:rsidP="006F67E5">
      <w:r w:rsidRPr="006F67E5">
        <w:t xml:space="preserve">The Review found the Regulator’s Risk Analysis Framework (RAF) provided useful context for this term of reference. The RAF was revised and re-issued in January 2005, </w:t>
      </w:r>
      <w:proofErr w:type="gramStart"/>
      <w:r w:rsidRPr="006F67E5">
        <w:t>taking into account</w:t>
      </w:r>
      <w:proofErr w:type="gramEnd"/>
      <w:r w:rsidRPr="006F67E5">
        <w:t xml:space="preserve"> the lessons learnt from the first four years of operation of the Act and advice from the GTEC on more effective ways to communicate risk. The Review found that the revised RAF has had a major influence on the structure and format of the Regulator’s risk assessment and risk management plans (RARMPs), improving their</w:t>
      </w:r>
      <w:r w:rsidR="00653ECA" w:rsidRPr="006F67E5">
        <w:t xml:space="preserve"> </w:t>
      </w:r>
      <w:r w:rsidRPr="006F67E5">
        <w:t>transparency and accessibility.</w:t>
      </w:r>
    </w:p>
    <w:p w14:paraId="44419DFB" w14:textId="18D1DBC6" w:rsidR="00360A23" w:rsidRPr="00694EF4" w:rsidRDefault="00360A23" w:rsidP="00016D07">
      <w:pPr>
        <w:pStyle w:val="Heading2"/>
      </w:pPr>
      <w:bookmarkStart w:id="39" w:name="_Toc95326273"/>
      <w:r w:rsidRPr="00694EF4">
        <w:t>Application of the precautionary principle</w:t>
      </w:r>
      <w:bookmarkEnd w:id="39"/>
    </w:p>
    <w:p w14:paraId="5B914917" w14:textId="77777777" w:rsidR="00016D07" w:rsidRDefault="00360A23" w:rsidP="006F67E5">
      <w:r w:rsidRPr="00694EF4">
        <w:t>The version of the precautionary principle cited in section 4 is the same as Principle</w:t>
      </w:r>
      <w:r w:rsidR="00653ECA" w:rsidRPr="00694EF4">
        <w:t xml:space="preserve"> </w:t>
      </w:r>
      <w:r w:rsidRPr="00694EF4">
        <w:t>15 of the 1992 Rio Declaration on Environment and Development adopted by the</w:t>
      </w:r>
      <w:r w:rsidR="00653ECA" w:rsidRPr="00694EF4">
        <w:t xml:space="preserve"> </w:t>
      </w:r>
      <w:r w:rsidRPr="00694EF4">
        <w:t>United Nations sponsored conference on Environment and Development:</w:t>
      </w:r>
    </w:p>
    <w:p w14:paraId="6C88F587" w14:textId="77777777" w:rsidR="00016D07" w:rsidRPr="00016D07" w:rsidRDefault="00016D07" w:rsidP="00A85459">
      <w:pPr>
        <w:keepLines/>
        <w:shd w:val="clear" w:color="auto" w:fill="E7E6E6" w:themeFill="background2"/>
      </w:pPr>
      <w:proofErr w:type="gramStart"/>
      <w:r w:rsidRPr="00016D07">
        <w:lastRenderedPageBreak/>
        <w:t>In order to</w:t>
      </w:r>
      <w:proofErr w:type="gramEnd"/>
      <w:r w:rsidRPr="00016D07">
        <w:t xml:space="preserve"> protect the environment, the precautionary approach shall be widely applied by States according to their capabilities. Where there are threats of serious or irreversible damage, lack of full scientific certainty shall not be used as a reason for postponing cost-effective measures to prevent environmental degradation.</w:t>
      </w:r>
    </w:p>
    <w:p w14:paraId="1D539A4C" w14:textId="77777777" w:rsidR="00653ECA" w:rsidRPr="00694EF4" w:rsidRDefault="00653ECA" w:rsidP="006F67E5">
      <w:r w:rsidRPr="00694EF4">
        <w:t xml:space="preserve">The version in the Act differs from the principle enunciated in the Australian Intergovernmental Agreement on the Environment (IGAE), which was concluded in 1992 between the Commonwealth, </w:t>
      </w:r>
      <w:proofErr w:type="gramStart"/>
      <w:r w:rsidRPr="00694EF4">
        <w:t>States</w:t>
      </w:r>
      <w:proofErr w:type="gramEnd"/>
      <w:r w:rsidRPr="00694EF4">
        <w:t xml:space="preserve"> and representatives of local government.</w:t>
      </w:r>
    </w:p>
    <w:p w14:paraId="2B5326E8" w14:textId="77777777" w:rsidR="00653ECA" w:rsidRPr="00694EF4" w:rsidRDefault="00653ECA" w:rsidP="006F67E5">
      <w:r w:rsidRPr="00694EF4">
        <w:t>The precautionary principle in the IGAE is stated as:</w:t>
      </w:r>
    </w:p>
    <w:p w14:paraId="5586EDAF" w14:textId="77777777" w:rsidR="00016D07" w:rsidRDefault="00016D07" w:rsidP="006F67E5">
      <w:pPr>
        <w:shd w:val="clear" w:color="auto" w:fill="E7E6E6" w:themeFill="background2"/>
      </w:pPr>
      <w:r>
        <w:t>Where there are threats of serious or irreversible environmental damage, lack of full scientific certainty should not be used as a reason for postponing measures to prevent environmental degradation.</w:t>
      </w:r>
    </w:p>
    <w:p w14:paraId="345923F3" w14:textId="77777777" w:rsidR="00016D07" w:rsidRDefault="00016D07" w:rsidP="006F67E5">
      <w:pPr>
        <w:shd w:val="clear" w:color="auto" w:fill="E7E6E6" w:themeFill="background2"/>
      </w:pPr>
      <w:r>
        <w:t>In the application of the precautionary principle, public and private decisions should be guided by:</w:t>
      </w:r>
    </w:p>
    <w:p w14:paraId="5AC4DECB" w14:textId="77777777" w:rsidR="00016D07" w:rsidRDefault="00016D07" w:rsidP="006F67E5">
      <w:pPr>
        <w:shd w:val="clear" w:color="auto" w:fill="E7E6E6" w:themeFill="background2"/>
      </w:pPr>
      <w:r>
        <w:t>(</w:t>
      </w:r>
      <w:proofErr w:type="spellStart"/>
      <w:r>
        <w:t>i</w:t>
      </w:r>
      <w:proofErr w:type="spellEnd"/>
      <w:r>
        <w:t xml:space="preserve">) careful evaluation to avoid, wherever practicable, serious or irreversible damage to the </w:t>
      </w:r>
      <w:proofErr w:type="gramStart"/>
      <w:r>
        <w:t>environment;</w:t>
      </w:r>
      <w:proofErr w:type="gramEnd"/>
    </w:p>
    <w:p w14:paraId="4DA3F074" w14:textId="77777777" w:rsidR="00016D07" w:rsidRDefault="00016D07" w:rsidP="006F67E5">
      <w:pPr>
        <w:shd w:val="clear" w:color="auto" w:fill="E7E6E6" w:themeFill="background2"/>
      </w:pPr>
      <w:r>
        <w:t>(ii) an assessment of the risk-weighted consequences of the various options.</w:t>
      </w:r>
    </w:p>
    <w:p w14:paraId="73956884" w14:textId="77777777" w:rsidR="00653ECA" w:rsidRPr="00694EF4" w:rsidRDefault="00653ECA" w:rsidP="006F67E5">
      <w:r w:rsidRPr="00694EF4">
        <w:t xml:space="preserve">This version of the principle is incorporated in other Commonwealth statutes dealing with environmental matters (section 391 of the EPBC Act and section 39Z of the </w:t>
      </w:r>
      <w:r w:rsidRPr="00694EF4">
        <w:rPr>
          <w:i/>
        </w:rPr>
        <w:t>Great Barrier Reef Marine Park Act 1975</w:t>
      </w:r>
      <w:r w:rsidRPr="00694EF4">
        <w:t>). Most State environmental legislation also contains this version of the precautionary principle.</w:t>
      </w:r>
    </w:p>
    <w:p w14:paraId="45D78B23" w14:textId="77777777" w:rsidR="00653ECA" w:rsidRPr="00694EF4" w:rsidRDefault="00653ECA" w:rsidP="006F67E5">
      <w:r w:rsidRPr="00694EF4">
        <w:t>Some submissions called for the wording in the Act to be amended to exclude reference to cost-effective. The Review identified many versions that are used around the world and noted that their underlying theme is a need for a cautious and careful approach to decision-making. The Review noted that negotiation of the IGAE version of the wording pre-dates the Rio version and that Parliament had chosen a form of words with wide international acceptance as the most appropriate for the Act. The Review did not identify any international developments that had occurred since 2000 to suggest a change to the wording was justified.</w:t>
      </w:r>
    </w:p>
    <w:p w14:paraId="790188DD" w14:textId="77777777" w:rsidR="00653ECA" w:rsidRPr="006F67E5" w:rsidRDefault="00653ECA" w:rsidP="006F67E5">
      <w:r w:rsidRPr="006F67E5">
        <w:t>The Review further found that there are many possible interpretations of the wording and noted that some submissions called on the Regulator to apply the precautionary principle ‘more rigorously’.</w:t>
      </w:r>
    </w:p>
    <w:p w14:paraId="4AEC8D9B" w14:textId="77777777" w:rsidR="00653ECA" w:rsidRPr="006F67E5" w:rsidRDefault="00653ECA" w:rsidP="006F67E5">
      <w:r w:rsidRPr="006F67E5">
        <w:t>In her submission the Regulator outlined how she approached the issue:</w:t>
      </w:r>
    </w:p>
    <w:p w14:paraId="35E84927" w14:textId="77777777" w:rsidR="006F67E5" w:rsidRDefault="006F67E5" w:rsidP="006F67E5">
      <w:pPr>
        <w:shd w:val="clear" w:color="auto" w:fill="E7E6E6" w:themeFill="background2"/>
      </w:pPr>
      <w:r>
        <w:t xml:space="preserve">The Act indicates that the Regulator is required to take protective measures as a prudent and sound response in the face of a lack of full scientific certainty. The approach adopted by the Regulator in addressing s.4 (aa) is outlined in the Risk Assessment Framework (RAF) document. Perceived threats should be based on credible scientific hypotheses and have a plausible causal pathway; the seriousness of the threat should be </w:t>
      </w:r>
      <w:proofErr w:type="gramStart"/>
      <w:r>
        <w:t>taken into account</w:t>
      </w:r>
      <w:proofErr w:type="gramEnd"/>
      <w:r>
        <w:t xml:space="preserve"> and measures to prevent damage should not be limited to bans.</w:t>
      </w:r>
    </w:p>
    <w:p w14:paraId="2B4B37AF" w14:textId="77777777" w:rsidR="006F67E5" w:rsidRDefault="006F67E5" w:rsidP="006F67E5">
      <w:pPr>
        <w:shd w:val="clear" w:color="auto" w:fill="E7E6E6" w:themeFill="background2"/>
      </w:pPr>
      <w:r>
        <w:t>The RAF, while emphasising that protective measures should be both commensurate with the risk and sufficient to minimise exposure to harm, also details how a cautious approach is employed in the administration of the Act to achieve protection of people and the environment. These can be grouped into actions taken prior, during and after a proposed dealing.</w:t>
      </w:r>
    </w:p>
    <w:p w14:paraId="7D3E795F" w14:textId="77777777" w:rsidR="00653ECA" w:rsidRPr="006F67E5" w:rsidRDefault="00653ECA" w:rsidP="006F67E5">
      <w:r w:rsidRPr="006F67E5">
        <w:lastRenderedPageBreak/>
        <w:t>The 2005 RAF essentially sets out a ‘cautionary’ understanding of the principle and if applied effectively and consistently, would preclude the release of any GMO that might present ‘threats of serious or irreversible environmental damage’ without adequate risk mitigation measures as part of the licence conditions.</w:t>
      </w:r>
    </w:p>
    <w:p w14:paraId="60C31B3C" w14:textId="77777777" w:rsidR="00653ECA" w:rsidRPr="006F67E5" w:rsidRDefault="00653ECA" w:rsidP="006F67E5">
      <w:r w:rsidRPr="006F67E5">
        <w:t>The Review concluded that:</w:t>
      </w:r>
    </w:p>
    <w:p w14:paraId="37F8B207" w14:textId="7D70E58B" w:rsidR="00653ECA" w:rsidRPr="006F67E5" w:rsidRDefault="00653ECA" w:rsidP="009F018E">
      <w:pPr>
        <w:pStyle w:val="ListParagraph"/>
        <w:numPr>
          <w:ilvl w:val="0"/>
          <w:numId w:val="3"/>
        </w:numPr>
      </w:pPr>
      <w:r w:rsidRPr="006F67E5">
        <w:t>the Regulator applies a cautionary approach to licence decisions; and</w:t>
      </w:r>
    </w:p>
    <w:p w14:paraId="5AD2793A" w14:textId="1A2D9A43" w:rsidR="00653ECA" w:rsidRPr="006F67E5" w:rsidRDefault="00653ECA" w:rsidP="009F018E">
      <w:pPr>
        <w:pStyle w:val="ListParagraph"/>
        <w:numPr>
          <w:ilvl w:val="0"/>
          <w:numId w:val="3"/>
        </w:numPr>
      </w:pPr>
      <w:r w:rsidRPr="006F67E5">
        <w:t>the precautionary principle in its current form is still appropriate.</w:t>
      </w:r>
    </w:p>
    <w:p w14:paraId="21E0739B" w14:textId="77777777" w:rsidR="00653ECA" w:rsidRPr="006F67E5" w:rsidRDefault="00653ECA" w:rsidP="006F67E5">
      <w:pPr>
        <w:pStyle w:val="Heading2"/>
      </w:pPr>
      <w:bookmarkStart w:id="40" w:name="_Toc95326274"/>
      <w:r w:rsidRPr="006F67E5">
        <w:t>Strict liability for contamination</w:t>
      </w:r>
      <w:bookmarkEnd w:id="40"/>
    </w:p>
    <w:p w14:paraId="3ABFCEDC" w14:textId="77777777" w:rsidR="00653ECA" w:rsidRPr="006F67E5" w:rsidRDefault="00653ECA" w:rsidP="006F67E5">
      <w:r w:rsidRPr="006F67E5">
        <w:t>Many submissions to the Review from NGOs, consumer organisations and farming groups opposed to the introduction of GM crops called for the imposition on licence holders of strict liability under common law for any damage caused by GMOs (note the Act currently provides for strict liability for offences and this is distinct from strict liability under the law of civil liability).</w:t>
      </w:r>
    </w:p>
    <w:p w14:paraId="6B6FA7AF" w14:textId="77777777" w:rsidR="00653ECA" w:rsidRPr="006F67E5" w:rsidRDefault="00653ECA" w:rsidP="006F67E5">
      <w:r w:rsidRPr="006F67E5">
        <w:t>On the other hand, research, industry, and other farming groups argued that such a requirement was unnecessary because the common law provided effective remedies for persons incurring damage from GMOs. They argued that imposing strict liability on licensees would stop the development and marketing of GMO crops, because licensees would not be willing to accept liability for damages caused by GMO crops regardless of the circumstances in which the GMO crops were planted or cultivated.</w:t>
      </w:r>
    </w:p>
    <w:p w14:paraId="3580D5A4" w14:textId="77777777" w:rsidR="00653ECA" w:rsidRPr="006F67E5" w:rsidRDefault="00653ECA" w:rsidP="006F67E5">
      <w:r w:rsidRPr="006F67E5">
        <w:t>In considering this issue the Review noted that the law of torts is a matter for State</w:t>
      </w:r>
      <w:r w:rsidR="00165C99" w:rsidRPr="006F67E5">
        <w:t xml:space="preserve"> </w:t>
      </w:r>
      <w:r w:rsidRPr="006F67E5">
        <w:t>governments. Any codification of the law to impose strict liability would thus require</w:t>
      </w:r>
      <w:r w:rsidR="00165C99" w:rsidRPr="006F67E5">
        <w:t xml:space="preserve"> </w:t>
      </w:r>
      <w:r w:rsidRPr="006F67E5">
        <w:t>amendments to State law rather than the Act.</w:t>
      </w:r>
    </w:p>
    <w:p w14:paraId="2A90D22A" w14:textId="3CA05F4E" w:rsidR="00653ECA" w:rsidRPr="006F67E5" w:rsidRDefault="00653ECA" w:rsidP="006F67E5">
      <w:r w:rsidRPr="006F67E5">
        <w:t>The key reasons put forward for strict liability are discussed below.</w:t>
      </w:r>
    </w:p>
    <w:p w14:paraId="10DB6A14" w14:textId="6F7501C9" w:rsidR="00165C99" w:rsidRPr="006F67E5" w:rsidRDefault="00165C99" w:rsidP="009F018E">
      <w:pPr>
        <w:pStyle w:val="ListParagraph"/>
        <w:numPr>
          <w:ilvl w:val="0"/>
          <w:numId w:val="5"/>
        </w:numPr>
      </w:pPr>
      <w:r w:rsidRPr="006F67E5">
        <w:t>The common law is defi</w:t>
      </w:r>
      <w:r w:rsidR="00653ECA" w:rsidRPr="006F67E5">
        <w:t>cient in not allowing recovery of damages for pure</w:t>
      </w:r>
      <w:r w:rsidRPr="006F67E5">
        <w:t xml:space="preserve"> </w:t>
      </w:r>
      <w:r w:rsidR="00653ECA" w:rsidRPr="006F67E5">
        <w:t xml:space="preserve">economic loss that farmers might suffer </w:t>
      </w:r>
      <w:proofErr w:type="gramStart"/>
      <w:r w:rsidR="00653ECA" w:rsidRPr="006F67E5">
        <w:t>as a result of</w:t>
      </w:r>
      <w:proofErr w:type="gramEnd"/>
      <w:r w:rsidR="00653ECA" w:rsidRPr="006F67E5">
        <w:t xml:space="preserve"> unintended presence of</w:t>
      </w:r>
      <w:r w:rsidRPr="006F67E5">
        <w:t xml:space="preserve"> </w:t>
      </w:r>
      <w:r w:rsidR="00653ECA" w:rsidRPr="006F67E5">
        <w:t>GMOs in their crops.</w:t>
      </w:r>
    </w:p>
    <w:p w14:paraId="4C814C6B" w14:textId="154E090F" w:rsidR="00653ECA" w:rsidRPr="00694EF4" w:rsidRDefault="00653ECA" w:rsidP="006F67E5">
      <w:r w:rsidRPr="00694EF4">
        <w:t>The Review noted that case law was developing to recognise pure economic loss,</w:t>
      </w:r>
      <w:r w:rsidR="00165C99" w:rsidRPr="00694EF4">
        <w:t xml:space="preserve"> </w:t>
      </w:r>
      <w:r w:rsidRPr="00694EF4">
        <w:t xml:space="preserve">and that the </w:t>
      </w:r>
      <w:proofErr w:type="spellStart"/>
      <w:r w:rsidRPr="00694EF4">
        <w:rPr>
          <w:i/>
        </w:rPr>
        <w:t>Perre</w:t>
      </w:r>
      <w:proofErr w:type="spellEnd"/>
      <w:r w:rsidRPr="00694EF4">
        <w:rPr>
          <w:i/>
        </w:rPr>
        <w:t xml:space="preserve"> v </w:t>
      </w:r>
      <w:proofErr w:type="spellStart"/>
      <w:r w:rsidRPr="00694EF4">
        <w:rPr>
          <w:i/>
        </w:rPr>
        <w:t>Apand</w:t>
      </w:r>
      <w:proofErr w:type="spellEnd"/>
      <w:r w:rsidR="00A85459">
        <w:rPr>
          <w:rStyle w:val="FootnoteReference"/>
        </w:rPr>
        <w:footnoteReference w:id="2"/>
      </w:r>
      <w:r w:rsidRPr="00694EF4">
        <w:t xml:space="preserve"> case decided in the High Court in 1999 covered many of</w:t>
      </w:r>
      <w:r w:rsidR="00165C99" w:rsidRPr="00694EF4">
        <w:t xml:space="preserve"> </w:t>
      </w:r>
      <w:r w:rsidRPr="00694EF4">
        <w:t>the issues that might be expected to arise concerning losses arising from unintended</w:t>
      </w:r>
      <w:r w:rsidR="00165C99" w:rsidRPr="00694EF4">
        <w:t xml:space="preserve"> </w:t>
      </w:r>
      <w:r w:rsidRPr="00694EF4">
        <w:t>presence of GMOs in non-GM crops. The Trade Practices Act 1974 and other consumer</w:t>
      </w:r>
      <w:r w:rsidR="00165C99" w:rsidRPr="00694EF4">
        <w:t xml:space="preserve"> </w:t>
      </w:r>
      <w:r w:rsidRPr="00694EF4">
        <w:t>protection legislation would also afford redress to persons affected by purchasing seed</w:t>
      </w:r>
      <w:r w:rsidR="00165C99" w:rsidRPr="00694EF4">
        <w:t xml:space="preserve"> </w:t>
      </w:r>
      <w:r w:rsidRPr="00694EF4">
        <w:t>supposed to be GM-free but containing GM material.</w:t>
      </w:r>
    </w:p>
    <w:p w14:paraId="175D85D5" w14:textId="77777777" w:rsidR="00653ECA" w:rsidRPr="006F67E5" w:rsidRDefault="00653ECA" w:rsidP="009F018E">
      <w:pPr>
        <w:pStyle w:val="ListParagraph"/>
        <w:numPr>
          <w:ilvl w:val="0"/>
          <w:numId w:val="5"/>
        </w:numPr>
      </w:pPr>
      <w:r w:rsidRPr="006F67E5">
        <w:t>It would avoid the need for persons incurring damage from GMOs to initiate</w:t>
      </w:r>
      <w:r w:rsidR="00165C99" w:rsidRPr="006F67E5">
        <w:t xml:space="preserve"> </w:t>
      </w:r>
      <w:r w:rsidRPr="006F67E5">
        <w:t>legal action.</w:t>
      </w:r>
    </w:p>
    <w:p w14:paraId="79E3F180" w14:textId="77777777" w:rsidR="00653ECA" w:rsidRPr="006F67E5" w:rsidRDefault="00653ECA" w:rsidP="006F67E5">
      <w:r w:rsidRPr="006F67E5">
        <w:t>However, while making licensees of GMOs strictly liable for any damage their GMOs</w:t>
      </w:r>
      <w:r w:rsidR="00165C99" w:rsidRPr="006F67E5">
        <w:t xml:space="preserve"> </w:t>
      </w:r>
      <w:r w:rsidRPr="006F67E5">
        <w:t>might cause would obviate the need for plaintiffs to prove fault, the Review noted</w:t>
      </w:r>
      <w:r w:rsidR="00165C99" w:rsidRPr="006F67E5">
        <w:t xml:space="preserve"> </w:t>
      </w:r>
      <w:r w:rsidRPr="006F67E5">
        <w:t>that plaintiffs would still need to demonstrate before a court the causal link between</w:t>
      </w:r>
      <w:r w:rsidR="00165C99" w:rsidRPr="006F67E5">
        <w:t xml:space="preserve"> </w:t>
      </w:r>
      <w:r w:rsidRPr="006F67E5">
        <w:t xml:space="preserve">the GMO and the damage they had incurred as well as the extent of their loss </w:t>
      </w:r>
      <w:proofErr w:type="gramStart"/>
      <w:r w:rsidRPr="006F67E5">
        <w:t>in order</w:t>
      </w:r>
      <w:r w:rsidR="00165C99" w:rsidRPr="006F67E5">
        <w:t xml:space="preserve"> </w:t>
      </w:r>
      <w:r w:rsidRPr="006F67E5">
        <w:t>to</w:t>
      </w:r>
      <w:proofErr w:type="gramEnd"/>
      <w:r w:rsidRPr="006F67E5">
        <w:t xml:space="preserve"> receive damages.</w:t>
      </w:r>
    </w:p>
    <w:p w14:paraId="38B4B363" w14:textId="4EC98295" w:rsidR="00165C99" w:rsidRPr="006F67E5" w:rsidRDefault="00653ECA" w:rsidP="006F67E5">
      <w:r w:rsidRPr="006F67E5">
        <w:t>In considering the issue, the Review noted that there is no other product in Australia</w:t>
      </w:r>
      <w:r w:rsidR="00165C99" w:rsidRPr="006F67E5">
        <w:t xml:space="preserve"> </w:t>
      </w:r>
      <w:r w:rsidRPr="006F67E5">
        <w:t>which has attracted a strict liability presumption under the common law. In the</w:t>
      </w:r>
      <w:r w:rsidR="00165C99" w:rsidRPr="006F67E5">
        <w:t xml:space="preserve"> past, and also in </w:t>
      </w:r>
      <w:r w:rsidR="00165C99" w:rsidRPr="006F67E5">
        <w:lastRenderedPageBreak/>
        <w:t>overseas jurisdictions, courts have imposed a strict liability regime in relation to ‘</w:t>
      </w:r>
      <w:proofErr w:type="spellStart"/>
      <w:r w:rsidR="00165C99" w:rsidRPr="006F67E5">
        <w:t>superhazardous</w:t>
      </w:r>
      <w:proofErr w:type="spellEnd"/>
      <w:r w:rsidR="00165C99" w:rsidRPr="006F67E5">
        <w:t xml:space="preserve"> </w:t>
      </w:r>
      <w:proofErr w:type="gramStart"/>
      <w:r w:rsidR="00165C99" w:rsidRPr="006F67E5">
        <w:t>goods’</w:t>
      </w:r>
      <w:proofErr w:type="gramEnd"/>
      <w:r w:rsidR="00165C99" w:rsidRPr="006F67E5">
        <w:t xml:space="preserve">. Given that the object of the Act is to manage risks to protect health and safety of people and the environment, it is contradictory to categorise any GMO assessed by the Regulator and licensed for intentional release as a </w:t>
      </w:r>
      <w:proofErr w:type="spellStart"/>
      <w:r w:rsidR="00165C99" w:rsidRPr="006F67E5">
        <w:t>superhazardous</w:t>
      </w:r>
      <w:proofErr w:type="spellEnd"/>
      <w:r w:rsidR="00165C99" w:rsidRPr="006F67E5">
        <w:t xml:space="preserve"> good.</w:t>
      </w:r>
    </w:p>
    <w:p w14:paraId="0752A86C" w14:textId="77777777" w:rsidR="00165C99" w:rsidRPr="006F67E5" w:rsidRDefault="00165C99" w:rsidP="006F67E5">
      <w:r w:rsidRPr="006F67E5">
        <w:t>The Review also noted that applying strict liability to a licensee of a GMO intended for cropping could create a risk that farmers using the GMO would have less incentive to take care to avoid practices that could result in unintended presence in a neighbour’s field. While this could be addressed by the licensee imposing strict conditions on the end-user, this would not be as efficient as exposing the end-user to direct liability for incautious use of the GMO. In some circumstances it would be inequitable to impose strict liability on a licensee. For example, if a person deliberately distributed GM seeds across his non-GM neighbour’s paddock it would be unfair to require the licensee to bear any liability for the use of their product.</w:t>
      </w:r>
    </w:p>
    <w:p w14:paraId="0913E758" w14:textId="77777777" w:rsidR="00165C99" w:rsidRPr="006F67E5" w:rsidRDefault="00165C99" w:rsidP="006F67E5">
      <w:r w:rsidRPr="006F67E5">
        <w:t>The Review noted that the European Union Directive 2004/35/EC8 on environmental liability specifically excludes civil liability for property damage or economic loss from, for example, adventitious presence of unwanted GM material/traits/species from neighbouring properties in crops or wild relatives.</w:t>
      </w:r>
    </w:p>
    <w:p w14:paraId="5B9EBF9B" w14:textId="23A3724F" w:rsidR="00653ECA" w:rsidRPr="00694EF4" w:rsidRDefault="00165C99" w:rsidP="006F67E5">
      <w:r w:rsidRPr="006F67E5">
        <w:t>On</w:t>
      </w:r>
      <w:r w:rsidRPr="00694EF4">
        <w:t xml:space="preserve"> balance, the Review concluded that a strict liability regime should not be introduced into the Act.</w:t>
      </w:r>
    </w:p>
    <w:p w14:paraId="742996B1" w14:textId="506514EB" w:rsidR="00165C99" w:rsidRPr="006F67E5" w:rsidRDefault="00165C99" w:rsidP="006F67E5">
      <w:pPr>
        <w:pStyle w:val="Heading2"/>
      </w:pPr>
      <w:bookmarkStart w:id="41" w:name="_Toc95326275"/>
      <w:r w:rsidRPr="006F67E5">
        <w:t>Compensation fund</w:t>
      </w:r>
      <w:bookmarkEnd w:id="41"/>
    </w:p>
    <w:p w14:paraId="7A86E807" w14:textId="77777777" w:rsidR="00165C99" w:rsidRPr="006F67E5" w:rsidRDefault="00165C99" w:rsidP="006F67E5">
      <w:proofErr w:type="gramStart"/>
      <w:r w:rsidRPr="006F67E5">
        <w:t>A number of</w:t>
      </w:r>
      <w:proofErr w:type="gramEnd"/>
      <w:r w:rsidRPr="006F67E5">
        <w:t xml:space="preserve"> groups proposing a strict liability regime drew attention to the recent Danish law establishing a compensation fund for farmers adversely affected by the unintended presence of GMOs in their crops and suggested that a similar regime may be appropriate for Australia.</w:t>
      </w:r>
    </w:p>
    <w:p w14:paraId="24804BC2" w14:textId="6DBE3B38" w:rsidR="00165C99" w:rsidRPr="006F67E5" w:rsidRDefault="00165C99" w:rsidP="006F67E5">
      <w:r w:rsidRPr="006F67E5">
        <w:t>The Danish scheme is funded through a levy paid by growers of GMOs for areas planted. According to the EU decision authorising the scheme</w:t>
      </w:r>
      <w:r w:rsidR="00ED4CE6">
        <w:rPr>
          <w:rStyle w:val="FootnoteReference"/>
        </w:rPr>
        <w:footnoteReference w:id="3"/>
      </w:r>
      <w:r w:rsidRPr="006F67E5">
        <w:t>:</w:t>
      </w:r>
    </w:p>
    <w:p w14:paraId="175BE8AB" w14:textId="77777777" w:rsidR="006F67E5" w:rsidRPr="006F67E5" w:rsidRDefault="006F67E5" w:rsidP="006F67E5">
      <w:pPr>
        <w:shd w:val="clear" w:color="auto" w:fill="E7E6E6" w:themeFill="background2"/>
        <w:rPr>
          <w:b/>
          <w:bCs/>
        </w:rPr>
      </w:pPr>
      <w:r w:rsidRPr="006F67E5">
        <w:rPr>
          <w:b/>
          <w:bCs/>
        </w:rPr>
        <w:t>Conditions for receipt of compensation</w:t>
      </w:r>
    </w:p>
    <w:p w14:paraId="3BF995D4" w14:textId="77777777" w:rsidR="006F67E5" w:rsidRPr="006F67E5" w:rsidRDefault="006F67E5" w:rsidP="006F67E5">
      <w:pPr>
        <w:shd w:val="clear" w:color="auto" w:fill="E7E6E6" w:themeFill="background2"/>
      </w:pPr>
      <w:r w:rsidRPr="006F67E5">
        <w:t xml:space="preserve">26) Payment of compensation is limited to cases, where GM-material is found in non-GM-crops of the same type as the GM-crops or a closely related type (GM-crops, which can cross into non-GM-crops) in the same cultivation season and within a specifically determined area (distance from GM-crops). </w:t>
      </w:r>
      <w:proofErr w:type="gramStart"/>
      <w:r w:rsidRPr="006F67E5">
        <w:t>With regard to</w:t>
      </w:r>
      <w:proofErr w:type="gramEnd"/>
      <w:r w:rsidRPr="006F67E5">
        <w:t xml:space="preserve"> the cultivation of ecological seed corn, the only condition relates to the cultivation season.</w:t>
      </w:r>
    </w:p>
    <w:p w14:paraId="70F5B836" w14:textId="77777777" w:rsidR="006F67E5" w:rsidRPr="006F67E5" w:rsidRDefault="006F67E5" w:rsidP="006F67E5">
      <w:pPr>
        <w:shd w:val="clear" w:color="auto" w:fill="E7E6E6" w:themeFill="background2"/>
      </w:pPr>
      <w:r w:rsidRPr="006F67E5">
        <w:t>27) Compensation is only paid out for losses if the occurrence of GM material in injured crops, as defined above, exceeds a threshold value of 0.9 per cent. This threshold value is the limit under which genetically modified foodstuff and feed stuff do not have to be marked for contents of genetically modified organisms, refer regulation (EF) Number 1829/2003.</w:t>
      </w:r>
    </w:p>
    <w:p w14:paraId="1DA8D36D" w14:textId="77777777" w:rsidR="006F67E5" w:rsidRPr="006F67E5" w:rsidRDefault="006F67E5" w:rsidP="006F67E5">
      <w:pPr>
        <w:shd w:val="clear" w:color="auto" w:fill="E7E6E6" w:themeFill="background2"/>
      </w:pPr>
      <w:r w:rsidRPr="006F67E5">
        <w:t>28) The farmer must apply for compensation no later than 14 days after the occurrence of GM-material has been ascertained. Proof of the occurrence and amount of GM-material must be undertaken by officials or authorised persons.</w:t>
      </w:r>
    </w:p>
    <w:p w14:paraId="70C3ADF9" w14:textId="77777777" w:rsidR="006F67E5" w:rsidRPr="006F67E5" w:rsidRDefault="006F67E5" w:rsidP="006F67E5">
      <w:pPr>
        <w:shd w:val="clear" w:color="auto" w:fill="E7E6E6" w:themeFill="background2"/>
      </w:pPr>
      <w:r w:rsidRPr="006F67E5">
        <w:t>29) Compensation is paid out, regardless of whether the farmer, from whose fields the GM-material has spread, can be identified.</w:t>
      </w:r>
    </w:p>
    <w:p w14:paraId="1DF61E33" w14:textId="77777777" w:rsidR="006F67E5" w:rsidRPr="006F67E5" w:rsidRDefault="006F67E5" w:rsidP="006F67E5">
      <w:pPr>
        <w:shd w:val="clear" w:color="auto" w:fill="E7E6E6" w:themeFill="background2"/>
      </w:pPr>
      <w:r w:rsidRPr="006F67E5">
        <w:lastRenderedPageBreak/>
        <w:t>30) Only those farmers who have suffered a loss in connection with primary production are entitled to compensation.</w:t>
      </w:r>
    </w:p>
    <w:p w14:paraId="23CB9D0F" w14:textId="77777777" w:rsidR="006F67E5" w:rsidRPr="006F67E5" w:rsidRDefault="006F67E5" w:rsidP="006F67E5">
      <w:pPr>
        <w:shd w:val="clear" w:color="auto" w:fill="E7E6E6" w:themeFill="background2"/>
        <w:rPr>
          <w:b/>
          <w:bCs/>
        </w:rPr>
      </w:pPr>
      <w:r w:rsidRPr="006F67E5">
        <w:rPr>
          <w:b/>
          <w:bCs/>
        </w:rPr>
        <w:t>Amount of compensation</w:t>
      </w:r>
    </w:p>
    <w:p w14:paraId="5554FC73" w14:textId="77777777" w:rsidR="006F67E5" w:rsidRPr="006F67E5" w:rsidRDefault="006F67E5" w:rsidP="006F67E5">
      <w:pPr>
        <w:shd w:val="clear" w:color="auto" w:fill="E7E6E6" w:themeFill="background2"/>
      </w:pPr>
      <w:r w:rsidRPr="006F67E5">
        <w:t xml:space="preserve">31) The amount of compensation is limited to the price difference between the market price of a crop, which </w:t>
      </w:r>
      <w:proofErr w:type="gramStart"/>
      <w:r w:rsidRPr="006F67E5">
        <w:t>has to</w:t>
      </w:r>
      <w:proofErr w:type="gramEnd"/>
      <w:r w:rsidRPr="006F67E5">
        <w:t xml:space="preserve"> be marked for contents of GM-material, and a crop, which does not demand such marking (that is contents of GM-material of under 0.9 percent). The Danish Plant Directorate sets the market price </w:t>
      </w:r>
      <w:proofErr w:type="gramStart"/>
      <w:r w:rsidRPr="006F67E5">
        <w:t>on the basis of</w:t>
      </w:r>
      <w:proofErr w:type="gramEnd"/>
      <w:r w:rsidRPr="006F67E5">
        <w:t xml:space="preserve"> monthly statistics from the Food Economics Institute (</w:t>
      </w:r>
      <w:proofErr w:type="spellStart"/>
      <w:r w:rsidRPr="006F67E5">
        <w:t>Fødevareøkonomisk</w:t>
      </w:r>
      <w:proofErr w:type="spellEnd"/>
      <w:r w:rsidRPr="006F67E5">
        <w:t xml:space="preserve"> </w:t>
      </w:r>
      <w:proofErr w:type="spellStart"/>
      <w:r w:rsidRPr="006F67E5">
        <w:t>Institut</w:t>
      </w:r>
      <w:proofErr w:type="spellEnd"/>
      <w:r w:rsidRPr="006F67E5">
        <w:t>).</w:t>
      </w:r>
    </w:p>
    <w:p w14:paraId="3865A3DD" w14:textId="77777777" w:rsidR="006F67E5" w:rsidRPr="006F67E5" w:rsidRDefault="006F67E5" w:rsidP="006F67E5">
      <w:pPr>
        <w:shd w:val="clear" w:color="auto" w:fill="E7E6E6" w:themeFill="background2"/>
      </w:pPr>
      <w:r w:rsidRPr="006F67E5">
        <w:t>32) For organic cultivation, compensation may be granted for the time, which is spent on the replanting of acreage, until production again can be sold as organic. This time depends on the type of production and is set by the Danish Law of Ecology Number 118 of 3.3.1999. Compensation only covers the differences between the market price of the products and the price which would have been attainted had they been sold as organic products.</w:t>
      </w:r>
    </w:p>
    <w:p w14:paraId="2E4C3831" w14:textId="77777777" w:rsidR="006F67E5" w:rsidRPr="006F67E5" w:rsidRDefault="006F67E5" w:rsidP="006F67E5">
      <w:pPr>
        <w:shd w:val="clear" w:color="auto" w:fill="E7E6E6" w:themeFill="background2"/>
      </w:pPr>
      <w:r w:rsidRPr="006F67E5">
        <w:t xml:space="preserve">33) If the producer has </w:t>
      </w:r>
      <w:proofErr w:type="gramStart"/>
      <w:r w:rsidRPr="006F67E5">
        <w:t>entered into</w:t>
      </w:r>
      <w:proofErr w:type="gramEnd"/>
      <w:r w:rsidRPr="006F67E5">
        <w:t xml:space="preserve"> a contract about delivery of GM-free products to a certain price, the compensation is based on the difference between this price and the market price. Compensation is however only paid for the part of the product, in which the contents of GM-material is over 0.9 percent, regardless which limit for contents of GM- material, producer and buyer may have agreed upon.</w:t>
      </w:r>
    </w:p>
    <w:p w14:paraId="3D1480A6" w14:textId="77777777" w:rsidR="006F67E5" w:rsidRPr="006F67E5" w:rsidRDefault="006F67E5" w:rsidP="006F67E5">
      <w:pPr>
        <w:shd w:val="clear" w:color="auto" w:fill="E7E6E6" w:themeFill="background2"/>
      </w:pPr>
      <w:r w:rsidRPr="006F67E5">
        <w:t>34) Compensation from other sources is deducted from the compensation, which is paid out under the support measures in question.</w:t>
      </w:r>
    </w:p>
    <w:p w14:paraId="01AA56D5" w14:textId="29827379" w:rsidR="00CB42F4" w:rsidRPr="006F67E5" w:rsidRDefault="00CB42F4" w:rsidP="006F67E5">
      <w:r w:rsidRPr="006F67E5">
        <w:t>The Government then seeks reimbursement for the cost of the compensation that has been paid from the farmer from whose fields the GM material emanated (if that person can be identified). If the farmer does not agree to make reimbursement the authorities may pursue the claim in court under standard civil law provisions, where fault must be proven.</w:t>
      </w:r>
    </w:p>
    <w:p w14:paraId="7ED1ECE3" w14:textId="37C9D496" w:rsidR="00CB42F4" w:rsidRPr="006F67E5" w:rsidRDefault="00CB42F4" w:rsidP="006F67E5">
      <w:r w:rsidRPr="006F67E5">
        <w:t>The Review noted that the compensation is limited to the difference in market price between the crop that is sold as ‘GM free’ and a crop that is sold as co-mingled. As no premium has yet been identified for ‘GM free’ commodities</w:t>
      </w:r>
      <w:r w:rsidRPr="00317E13">
        <w:rPr>
          <w:vertAlign w:val="superscript"/>
        </w:rPr>
        <w:t>3</w:t>
      </w:r>
      <w:r w:rsidR="00317E13">
        <w:rPr>
          <w:rStyle w:val="FootnoteReference"/>
        </w:rPr>
        <w:footnoteReference w:id="4"/>
      </w:r>
      <w:r w:rsidRPr="006F67E5">
        <w:t>, the amount of compensation is likely to be minimal.</w:t>
      </w:r>
    </w:p>
    <w:p w14:paraId="5679B38E" w14:textId="77777777" w:rsidR="00CB42F4" w:rsidRPr="006F67E5" w:rsidRDefault="00CB42F4" w:rsidP="006F67E5">
      <w:r w:rsidRPr="006F67E5">
        <w:t>The Review considered whether there would be any benefits for such a scheme in the Australian context. It concluded that the need for a compensation scheme rested on the presumption that the common law and consumer protection legislation would not prove adequate in dealing with losses covered under the Danish scheme.</w:t>
      </w:r>
    </w:p>
    <w:p w14:paraId="15EA33F8" w14:textId="77777777" w:rsidR="00CB42F4" w:rsidRPr="006F67E5" w:rsidRDefault="00CB42F4" w:rsidP="006F67E5">
      <w:r w:rsidRPr="006F67E5">
        <w:t>Having considered these issues as well as the operation of the common law and consumer protection legislation in Australia, the Review concluded that a mandatory compensation scheme such as the Danish scheme should not be introduced.</w:t>
      </w:r>
    </w:p>
    <w:p w14:paraId="0B35769F" w14:textId="77777777" w:rsidR="00CB42F4" w:rsidRPr="00694EF4" w:rsidRDefault="00CB42F4" w:rsidP="00A85459">
      <w:pPr>
        <w:pStyle w:val="Heading2"/>
      </w:pPr>
      <w:bookmarkStart w:id="42" w:name="_Toc95326276"/>
      <w:r w:rsidRPr="00694EF4">
        <w:t>Mandatory insurance for GMOs</w:t>
      </w:r>
      <w:bookmarkEnd w:id="42"/>
    </w:p>
    <w:p w14:paraId="1D146CF5" w14:textId="77777777" w:rsidR="00CB42F4" w:rsidRPr="00694EF4" w:rsidRDefault="00CB42F4" w:rsidP="00317E13">
      <w:r w:rsidRPr="00694EF4">
        <w:t>A related issue to strict liability at common law was mandatory insurance. Sub section 62(3) of the Act provides that licence conditions for the release of GMOs into the environment may:</w:t>
      </w:r>
    </w:p>
    <w:p w14:paraId="33A4B983" w14:textId="0C94B550" w:rsidR="00CB42F4" w:rsidRPr="00317E13" w:rsidRDefault="00CB42F4" w:rsidP="00317E13">
      <w:pPr>
        <w:ind w:left="720"/>
        <w:rPr>
          <w:i/>
          <w:iCs/>
        </w:rPr>
      </w:pPr>
      <w:r w:rsidRPr="00317E13">
        <w:rPr>
          <w:i/>
          <w:iCs/>
        </w:rPr>
        <w:lastRenderedPageBreak/>
        <w:t xml:space="preserve">include conditions requiring the licence holder to be adequately insured against any loss, damage, or injury that may be caused to human health, </w:t>
      </w:r>
      <w:proofErr w:type="gramStart"/>
      <w:r w:rsidRPr="00317E13">
        <w:rPr>
          <w:i/>
          <w:iCs/>
        </w:rPr>
        <w:t>property</w:t>
      </w:r>
      <w:proofErr w:type="gramEnd"/>
      <w:r w:rsidRPr="00317E13">
        <w:rPr>
          <w:i/>
          <w:iCs/>
        </w:rPr>
        <w:t xml:space="preserve"> or the environment by the licensed dealing.</w:t>
      </w:r>
    </w:p>
    <w:p w14:paraId="516DAD82" w14:textId="77777777" w:rsidR="00CB42F4" w:rsidRPr="00317E13" w:rsidRDefault="00CB42F4" w:rsidP="00317E13">
      <w:r w:rsidRPr="00317E13">
        <w:t xml:space="preserve">So </w:t>
      </w:r>
      <w:proofErr w:type="gramStart"/>
      <w:r w:rsidRPr="00317E13">
        <w:t>far</w:t>
      </w:r>
      <w:proofErr w:type="gramEnd"/>
      <w:r w:rsidRPr="00317E13">
        <w:t xml:space="preserve"> the Regulator has not imposed any conditions of this sort.</w:t>
      </w:r>
    </w:p>
    <w:p w14:paraId="77A622AC" w14:textId="77777777" w:rsidR="00CB42F4" w:rsidRPr="00317E13" w:rsidRDefault="00CB42F4" w:rsidP="00317E13">
      <w:r w:rsidRPr="00317E13">
        <w:t>Many submissions to the Review from groups seeking the imposition of a strict liability regime under common law also called for mandatory insurance for licence holders to cover their obligations under such a regime. On the other hand, groups opposed to strict liability saw no need for mandatory insurance.</w:t>
      </w:r>
    </w:p>
    <w:p w14:paraId="3B8D2781" w14:textId="77777777" w:rsidR="00CB42F4" w:rsidRPr="00317E13" w:rsidRDefault="00CB42F4" w:rsidP="00317E13">
      <w:r w:rsidRPr="00317E13">
        <w:t>In considering this issue the Review noted that there are various mandatory schemes in Australia at present.</w:t>
      </w:r>
    </w:p>
    <w:p w14:paraId="313165FE" w14:textId="77777777" w:rsidR="00165C99" w:rsidRPr="00317E13" w:rsidRDefault="00CB42F4" w:rsidP="00317E13">
      <w:r w:rsidRPr="00317E13">
        <w:t>Some of these cover particular activities, such as driving a motor vehicle (to the extent of personal injury liability to other people) and employing staff (to the extent to which they are injured in the workplace). The policy rationale for these schemes is to afford protection to people against financial loss arising from personal injury.</w:t>
      </w:r>
    </w:p>
    <w:p w14:paraId="7B35B544" w14:textId="77777777" w:rsidR="00732034" w:rsidRPr="009A677E" w:rsidRDefault="00732034" w:rsidP="009A677E">
      <w:r w:rsidRPr="009A677E">
        <w:t xml:space="preserve">Other schemes cover </w:t>
      </w:r>
      <w:proofErr w:type="gramStart"/>
      <w:r w:rsidRPr="009A677E">
        <w:t>particular services</w:t>
      </w:r>
      <w:proofErr w:type="gramEnd"/>
      <w:r w:rsidRPr="009A677E">
        <w:t>, such as providing legal advice or building houses, to the extent to which there are deficiencies in the advice or the house. Some schemes are intended to protect consumers placing large sums of money in the hands of providers prior to completion of the service.</w:t>
      </w:r>
    </w:p>
    <w:p w14:paraId="5677FD5E" w14:textId="77777777" w:rsidR="00732034" w:rsidRPr="009A677E" w:rsidRDefault="00732034" w:rsidP="009A677E">
      <w:r w:rsidRPr="009A677E">
        <w:t xml:space="preserve">However, there are no products covered by statutory insurance requirements. Not even the manufacturers of products which </w:t>
      </w:r>
      <w:proofErr w:type="gramStart"/>
      <w:r w:rsidRPr="009A677E">
        <w:t>can be seen as</w:t>
      </w:r>
      <w:proofErr w:type="gramEnd"/>
      <w:r w:rsidRPr="009A677E">
        <w:t xml:space="preserve"> inherently dangerous, such as chemicals or explosives, are required to hold product liability insurance. The community instead relies on consumer protection legislation, product standards and industry codes of practice to ensure</w:t>
      </w:r>
      <w:r w:rsidR="00694EF4" w:rsidRPr="009A677E">
        <w:t xml:space="preserve"> that products generally are fi</w:t>
      </w:r>
      <w:r w:rsidRPr="009A677E">
        <w:t>t for sale and to mitigate the risks of harm from potentially dangerous products. The Review sought comment from the Insurance Council of Australia (ICA) and noted that the ICA was not in favour of imposing mandatory insurance because of practical limitations.</w:t>
      </w:r>
    </w:p>
    <w:p w14:paraId="74AD2251" w14:textId="77777777" w:rsidR="009A677E" w:rsidRDefault="00732034" w:rsidP="009A677E">
      <w:r w:rsidRPr="009A677E">
        <w:t>On balance, the Review concluded that mandatory product insurance for GMOs should not be required. The Review considered that the Regulator should retain the existing power under the Act to impose such an insurance condition on a particular release if she considered it warranted by</w:t>
      </w:r>
      <w:r w:rsidRPr="00694EF4">
        <w:t xml:space="preserve"> specific circumstances.</w:t>
      </w:r>
    </w:p>
    <w:p w14:paraId="19A45397" w14:textId="77777777" w:rsidR="009A677E" w:rsidRPr="009A677E" w:rsidRDefault="00732034" w:rsidP="009A677E">
      <w:pPr>
        <w:pStyle w:val="Recommendation"/>
      </w:pPr>
      <w:r w:rsidRPr="009A677E">
        <w:t>Recommendation 4.1: The Review concluded that the object of the Act</w:t>
      </w:r>
      <w:r w:rsidR="00694EF4" w:rsidRPr="009A677E">
        <w:t xml:space="preserve"> </w:t>
      </w:r>
      <w:r w:rsidRPr="009A677E">
        <w:t>is being achieved and recommends that the principles of the regulatory</w:t>
      </w:r>
      <w:r w:rsidR="00694EF4" w:rsidRPr="009A677E">
        <w:t xml:space="preserve"> </w:t>
      </w:r>
      <w:r w:rsidRPr="009A677E">
        <w:t>framework stipulated in section 4 be maintained. (Some legislative</w:t>
      </w:r>
      <w:r w:rsidR="00694EF4" w:rsidRPr="009A677E">
        <w:t xml:space="preserve"> </w:t>
      </w:r>
      <w:r w:rsidRPr="009A677E">
        <w:t>amendments may be required to accommodate the remainder of the</w:t>
      </w:r>
      <w:r w:rsidR="00694EF4" w:rsidRPr="009A677E">
        <w:t xml:space="preserve"> </w:t>
      </w:r>
      <w:r w:rsidRPr="009A677E">
        <w:t>recommendations in this chapter).</w:t>
      </w:r>
    </w:p>
    <w:p w14:paraId="543FEF2A" w14:textId="7906EC4E" w:rsidR="00B40E95" w:rsidRPr="00694EF4" w:rsidRDefault="00B40E95" w:rsidP="009A677E">
      <w:pPr>
        <w:pStyle w:val="Heading3"/>
      </w:pPr>
      <w:r w:rsidRPr="00694EF4">
        <w:t>An efficient and effective system for the application of gene technologies</w:t>
      </w:r>
    </w:p>
    <w:p w14:paraId="443D575B" w14:textId="77777777" w:rsidR="009A677E" w:rsidRDefault="00B40E95" w:rsidP="009A677E">
      <w:r w:rsidRPr="00694EF4">
        <w:t xml:space="preserve">The Review identified </w:t>
      </w:r>
      <w:proofErr w:type="gramStart"/>
      <w:r w:rsidRPr="00694EF4">
        <w:t xml:space="preserve">a </w:t>
      </w:r>
      <w:r w:rsidRPr="009A677E">
        <w:t>number</w:t>
      </w:r>
      <w:r w:rsidRPr="00694EF4">
        <w:t xml:space="preserve"> of</w:t>
      </w:r>
      <w:proofErr w:type="gramEnd"/>
      <w:r w:rsidRPr="00694EF4">
        <w:t xml:space="preserve"> changes to the Act that would improve the efficiency and effectiveness of the gene technology regulatory system. These are discussed below.</w:t>
      </w:r>
    </w:p>
    <w:p w14:paraId="33C70D4D" w14:textId="7DFF3FBE" w:rsidR="00732034" w:rsidRPr="00A85459" w:rsidRDefault="00B40E95" w:rsidP="009A677E">
      <w:pPr>
        <w:rPr>
          <w:rStyle w:val="Heading2Char"/>
        </w:rPr>
      </w:pPr>
      <w:bookmarkStart w:id="43" w:name="_Toc95326277"/>
      <w:r w:rsidRPr="00A85459">
        <w:rPr>
          <w:rStyle w:val="Heading2Char"/>
        </w:rPr>
        <w:t>Emergency approvals</w:t>
      </w:r>
      <w:bookmarkEnd w:id="43"/>
    </w:p>
    <w:p w14:paraId="76562427" w14:textId="2883A543" w:rsidR="00694EF4" w:rsidRPr="009A677E" w:rsidRDefault="00B40E95" w:rsidP="009A677E">
      <w:r w:rsidRPr="00694EF4">
        <w:t xml:space="preserve">The Regulator pointed out in her </w:t>
      </w:r>
      <w:r w:rsidRPr="009A677E">
        <w:t>submission</w:t>
      </w:r>
      <w:r w:rsidRPr="00694EF4">
        <w:t xml:space="preserve"> that she was unable to fast track an approval in an emergency. The Review noted that the Regulator had approved a genetically modified cholera vaccine for release into the environment in conjunction with the relevant approval from the TGA. It is conceivable in the future that genetically modified vaccines (either for </w:t>
      </w:r>
      <w:r w:rsidRPr="00694EF4">
        <w:lastRenderedPageBreak/>
        <w:t xml:space="preserve">human or veterinary use) may be required in an emergency. The current provisions in the Act would mean that such a vaccine (that may have already been approved overseas) could not be released into the environment in Australia without the standard </w:t>
      </w:r>
      <w:proofErr w:type="gramStart"/>
      <w:r w:rsidRPr="00694EF4">
        <w:t>170 day</w:t>
      </w:r>
      <w:proofErr w:type="gramEnd"/>
      <w:r w:rsidRPr="00694EF4">
        <w:t xml:space="preserve"> approval process.</w:t>
      </w:r>
    </w:p>
    <w:p w14:paraId="18DB4579" w14:textId="77777777" w:rsidR="00694EF4" w:rsidRPr="009A677E" w:rsidRDefault="00694EF4" w:rsidP="009A677E">
      <w:r w:rsidRPr="009A677E">
        <w:t>In contrast, the TGA and the APVMA (the relevant product regulators for these vaccines) both have emergency approval mechanisms. The Review identified that most of the other regulatory agencies have provisions for emergency approvals and that generally the power is given to the relevant Minister.</w:t>
      </w:r>
    </w:p>
    <w:p w14:paraId="2F04FF89" w14:textId="77777777" w:rsidR="00B40E95" w:rsidRPr="009A677E" w:rsidRDefault="00694EF4" w:rsidP="009A677E">
      <w:r w:rsidRPr="009A677E">
        <w:t>The Review concluded that the lack of emergency approval powers impacted on both the effectiveness of the regulatory system and consistency with the other regulatory groups. The inclusion of emergency approval powers would make the gene technology regulatory system more effective and bring greater consistency. It would be appropriate for this power to be given to the relevant Minister rather than the Regulator.</w:t>
      </w:r>
    </w:p>
    <w:p w14:paraId="44C2FE66" w14:textId="77777777" w:rsidR="00694EF4" w:rsidRPr="009A677E" w:rsidRDefault="00694EF4" w:rsidP="009A677E">
      <w:pPr>
        <w:pStyle w:val="Recommendation"/>
      </w:pPr>
      <w:r w:rsidRPr="009A677E">
        <w:t>Recommendation 4.2: The Review recommends that the Act be amended to include powers for the relevant Minister to issue a special licence in an emergency (</w:t>
      </w:r>
      <w:proofErr w:type="gramStart"/>
      <w:r w:rsidRPr="009A677E">
        <w:t>similar to</w:t>
      </w:r>
      <w:proofErr w:type="gramEnd"/>
      <w:r w:rsidRPr="009A677E">
        <w:t xml:space="preserve"> provisions in relevant regulatory schemes).</w:t>
      </w:r>
    </w:p>
    <w:p w14:paraId="07A667B3" w14:textId="16110AA5" w:rsidR="00694EF4" w:rsidRDefault="00694EF4" w:rsidP="00694EF4">
      <w:pPr>
        <w:pStyle w:val="Heading2"/>
        <w:rPr>
          <w:b w:val="0"/>
        </w:rPr>
      </w:pPr>
      <w:bookmarkStart w:id="44" w:name="_Toc95326278"/>
      <w:r>
        <w:t>Rights of appeal and review</w:t>
      </w:r>
      <w:bookmarkEnd w:id="44"/>
    </w:p>
    <w:p w14:paraId="0A625B6D" w14:textId="0CD6C300" w:rsidR="00694EF4" w:rsidRPr="00694EF4" w:rsidRDefault="00694EF4" w:rsidP="009A677E">
      <w:r w:rsidRPr="00694EF4">
        <w:t xml:space="preserve">The Review </w:t>
      </w:r>
      <w:r w:rsidRPr="009A677E">
        <w:t>noted</w:t>
      </w:r>
      <w:r w:rsidRPr="00694EF4">
        <w:t xml:space="preserve"> some submissions sought to give third parties the right to appeal</w:t>
      </w:r>
      <w:r>
        <w:t xml:space="preserve"> </w:t>
      </w:r>
      <w:r w:rsidRPr="00694EF4">
        <w:t>decisions of the Regulator. This issue had been considered during development of the</w:t>
      </w:r>
      <w:r>
        <w:t xml:space="preserve"> </w:t>
      </w:r>
      <w:r w:rsidRPr="00694EF4">
        <w:t>legislation when the Senate Community Affairs References Committee recommended</w:t>
      </w:r>
      <w:r>
        <w:t xml:space="preserve"> </w:t>
      </w:r>
      <w:r w:rsidRPr="00694EF4">
        <w:t>that the Bill be amended to provide for the right of third parties to apply for</w:t>
      </w:r>
      <w:r>
        <w:t xml:space="preserve"> </w:t>
      </w:r>
      <w:r w:rsidRPr="00694EF4">
        <w:t>review of a decision of the Regulator. The Committee believed that the Bill unfairly</w:t>
      </w:r>
      <w:r>
        <w:t xml:space="preserve"> </w:t>
      </w:r>
      <w:r w:rsidRPr="00694EF4">
        <w:t>discriminated against third parties wishing to appeal the grant of licences.</w:t>
      </w:r>
      <w:r w:rsidR="008C7B7C">
        <w:rPr>
          <w:rStyle w:val="FootnoteReference"/>
        </w:rPr>
        <w:footnoteReference w:id="5"/>
      </w:r>
    </w:p>
    <w:p w14:paraId="7A5A2CD3" w14:textId="77777777" w:rsidR="00694EF4" w:rsidRPr="009A677E" w:rsidRDefault="00694EF4" w:rsidP="009A677E">
      <w:r w:rsidRPr="009A677E">
        <w:t>However, the Parliament did not accept this recommendation and the Bill was passed</w:t>
      </w:r>
      <w:r w:rsidR="006B0D7C" w:rsidRPr="009A677E">
        <w:t xml:space="preserve"> </w:t>
      </w:r>
      <w:r w:rsidRPr="009A677E">
        <w:t>into law without direct provision for third party appeal.</w:t>
      </w:r>
    </w:p>
    <w:p w14:paraId="70769EC0" w14:textId="77777777" w:rsidR="00694EF4" w:rsidRPr="009A677E" w:rsidRDefault="00694EF4" w:rsidP="009A677E">
      <w:r w:rsidRPr="009A677E">
        <w:t>It is important to note the distinction between review by the Administrative Appeals</w:t>
      </w:r>
      <w:r w:rsidR="006B0D7C" w:rsidRPr="009A677E">
        <w:t xml:space="preserve"> </w:t>
      </w:r>
      <w:r w:rsidRPr="009A677E">
        <w:t>Tribunal (AAT), which examines the merits of an administrative decision and can set</w:t>
      </w:r>
      <w:r w:rsidR="006B0D7C" w:rsidRPr="009A677E">
        <w:t xml:space="preserve"> </w:t>
      </w:r>
      <w:r w:rsidRPr="009A677E">
        <w:t>aside a decision and replace it with a preferred decision, and review by the Federal</w:t>
      </w:r>
      <w:r w:rsidR="006B0D7C" w:rsidRPr="009A677E">
        <w:t xml:space="preserve"> </w:t>
      </w:r>
      <w:r w:rsidRPr="009A677E">
        <w:t>Court under the Administrative Decisions (Judicial Review) Act 1977 (AD(JR) Act), which</w:t>
      </w:r>
      <w:r w:rsidR="006B0D7C" w:rsidRPr="009A677E">
        <w:t xml:space="preserve"> </w:t>
      </w:r>
      <w:r w:rsidRPr="009A677E">
        <w:t>can only go to</w:t>
      </w:r>
      <w:r w:rsidR="006B0D7C" w:rsidRPr="009A677E">
        <w:t xml:space="preserve"> </w:t>
      </w:r>
      <w:r w:rsidRPr="009A677E">
        <w:t>defects in the process of</w:t>
      </w:r>
      <w:r w:rsidR="006B0D7C" w:rsidRPr="009A677E">
        <w:t xml:space="preserve"> decision making and remit a fl</w:t>
      </w:r>
      <w:r w:rsidRPr="009A677E">
        <w:t>awed decision</w:t>
      </w:r>
      <w:r w:rsidR="006B0D7C" w:rsidRPr="009A677E">
        <w:t xml:space="preserve"> </w:t>
      </w:r>
      <w:r w:rsidRPr="009A677E">
        <w:t>to the decision maker for reconsideration.</w:t>
      </w:r>
    </w:p>
    <w:p w14:paraId="11B50E95" w14:textId="77777777" w:rsidR="00694EF4" w:rsidRPr="009A677E" w:rsidRDefault="00694EF4" w:rsidP="009A677E">
      <w:r w:rsidRPr="009A677E">
        <w:t>It is a feature of many legislative schemes that only persons directly affected by a</w:t>
      </w:r>
      <w:r w:rsidR="006B0D7C" w:rsidRPr="009A677E">
        <w:t xml:space="preserve"> </w:t>
      </w:r>
      <w:r w:rsidRPr="009A677E">
        <w:t>decision can access the AAT. This is intended to limit the possibility of vexatious appeals.</w:t>
      </w:r>
    </w:p>
    <w:p w14:paraId="69FD3415" w14:textId="77777777" w:rsidR="00694EF4" w:rsidRPr="009A677E" w:rsidRDefault="00694EF4" w:rsidP="009A677E">
      <w:r w:rsidRPr="009A677E">
        <w:t>While Division 2 of Part 12 of the Act provides for internal review (section 181) and</w:t>
      </w:r>
      <w:r w:rsidR="006B0D7C" w:rsidRPr="009A677E">
        <w:t xml:space="preserve"> </w:t>
      </w:r>
      <w:r w:rsidRPr="009A677E">
        <w:t>review by the AAT (section 183) of a wide range of decisions, it limits the right to seek</w:t>
      </w:r>
      <w:r w:rsidR="006B0D7C" w:rsidRPr="009A677E">
        <w:t xml:space="preserve"> </w:t>
      </w:r>
      <w:r w:rsidRPr="009A677E">
        <w:t>a review to eligible persons. Eligible persons are defined as applicants for or holders of</w:t>
      </w:r>
      <w:r w:rsidR="006B0D7C" w:rsidRPr="009A677E">
        <w:t xml:space="preserve"> </w:t>
      </w:r>
      <w:r w:rsidRPr="009A677E">
        <w:t xml:space="preserve">licences, </w:t>
      </w:r>
      <w:proofErr w:type="gramStart"/>
      <w:r w:rsidRPr="009A677E">
        <w:t>certification</w:t>
      </w:r>
      <w:proofErr w:type="gramEnd"/>
      <w:r w:rsidRPr="009A677E">
        <w:t xml:space="preserve"> or accreditation.</w:t>
      </w:r>
    </w:p>
    <w:p w14:paraId="449551C6" w14:textId="77777777" w:rsidR="00550535" w:rsidRPr="009A677E" w:rsidRDefault="00550535" w:rsidP="009A677E">
      <w:r w:rsidRPr="009A677E">
        <w:t xml:space="preserve">The Review found that the current AAT appeal eligibility provisions are consistent with the legislation administered by the other regulatory agencies, except the </w:t>
      </w:r>
      <w:r w:rsidRPr="009A677E">
        <w:rPr>
          <w:i/>
          <w:iCs/>
        </w:rPr>
        <w:t>Quarantine Act 1908</w:t>
      </w:r>
      <w:r w:rsidRPr="009A677E">
        <w:t xml:space="preserve"> (which does not provide for AAT appeals). The Review could not find any justification for </w:t>
      </w:r>
      <w:r w:rsidRPr="009A677E">
        <w:lastRenderedPageBreak/>
        <w:t>distinguishing the Act from the legislation administered by the other regulatory agencies and concluded that the AAT appeal provisions should remain unchanged.</w:t>
      </w:r>
    </w:p>
    <w:p w14:paraId="4C3F39F0" w14:textId="77777777" w:rsidR="00550535" w:rsidRPr="009A677E" w:rsidRDefault="00550535" w:rsidP="009A677E">
      <w:r w:rsidRPr="009A677E">
        <w:t>The AD(JR) Act allows ‘aggrieved persons’ access to the Federal Court. Case law has defined an aggrieved person as one who has an interest above that of an ordinary member of the public such that they will suffer a particular disadvantage from the decision beyond that of an ordinary member of the public. This definition has been widened by specific provisions in some legislation. Section 183A of the Act widens the meaning of an aggrieved person to include the States.</w:t>
      </w:r>
    </w:p>
    <w:p w14:paraId="4F710AB8" w14:textId="77777777" w:rsidR="00550535" w:rsidRPr="009A677E" w:rsidRDefault="00550535" w:rsidP="009A677E">
      <w:r w:rsidRPr="009A677E">
        <w:t xml:space="preserve">The Review looked at the review provisions in the legislation of the other regulatory agencies and confirmed they are </w:t>
      </w:r>
      <w:proofErr w:type="gramStart"/>
      <w:r w:rsidRPr="009A677E">
        <w:t>similar to</w:t>
      </w:r>
      <w:proofErr w:type="gramEnd"/>
      <w:r w:rsidRPr="009A677E">
        <w:t xml:space="preserve"> the current provisions in the Act (see chapter 7).</w:t>
      </w:r>
    </w:p>
    <w:p w14:paraId="43F57641" w14:textId="77777777" w:rsidR="00550535" w:rsidRPr="009A677E" w:rsidRDefault="00550535" w:rsidP="009A677E">
      <w:r w:rsidRPr="009A677E">
        <w:t>The Review also considered the appeal and review mechanisms in the EPBC Act. For environmental assessments, the EPBC Act has appeal provisions that are unusual compared with many other decision-making agencies. Under Part 3 of the EPBC Act, which relates to activities that have a significant impact on matters of national environmental significance, there is no provision for AAT appeals.</w:t>
      </w:r>
    </w:p>
    <w:p w14:paraId="69C2DE40" w14:textId="77777777" w:rsidR="006B0D7C" w:rsidRPr="009A677E" w:rsidRDefault="00550535" w:rsidP="009A677E">
      <w:r w:rsidRPr="009A677E">
        <w:t>However, this part of the EPBC Act provides extended standing for AD(JR) appeals to:</w:t>
      </w:r>
    </w:p>
    <w:p w14:paraId="73D536EE" w14:textId="77777777" w:rsidR="00550535" w:rsidRPr="009A677E" w:rsidRDefault="00550535" w:rsidP="009F018E">
      <w:pPr>
        <w:pStyle w:val="ListParagraph"/>
        <w:numPr>
          <w:ilvl w:val="0"/>
          <w:numId w:val="6"/>
        </w:numPr>
      </w:pPr>
      <w:r w:rsidRPr="009A677E">
        <w:t>an individual (Australian citizen) if at any time in the last 2 years they have engaged in a series of activities for protection or conservation of, or research into, the environment, or</w:t>
      </w:r>
    </w:p>
    <w:p w14:paraId="55A94810" w14:textId="77777777" w:rsidR="006B0D7C" w:rsidRPr="009A677E" w:rsidRDefault="00550535" w:rsidP="009F018E">
      <w:pPr>
        <w:pStyle w:val="ListParagraph"/>
        <w:numPr>
          <w:ilvl w:val="0"/>
          <w:numId w:val="6"/>
        </w:numPr>
      </w:pPr>
      <w:r w:rsidRPr="009A677E">
        <w:t>an organisation or incorporated association whose purposes include protection or conservation of, or research into, the environment and, who engaged in a series of activities for those purposes any time in the last 2 years.</w:t>
      </w:r>
    </w:p>
    <w:p w14:paraId="5A3E748A" w14:textId="29DC4346" w:rsidR="00550535" w:rsidRPr="009A677E" w:rsidRDefault="00550535" w:rsidP="009A677E">
      <w:r w:rsidRPr="009A677E">
        <w:t>The EPBC Act and the Act differ significantly in their process and consultation provisions. Under the Act, consultation is required with the prescribed agencies, the States, the Environment Minister, relevant local councils and GTTAC in addition to the public. This is designed to ensure that all issues relevant to the Regulator’s decision are presented to the Regulator for her consideration.</w:t>
      </w:r>
    </w:p>
    <w:p w14:paraId="2909AD19" w14:textId="6B666B26" w:rsidR="00550535" w:rsidRPr="009A677E" w:rsidRDefault="00550535" w:rsidP="009A677E">
      <w:r w:rsidRPr="009A677E">
        <w:t>While the EPBC Act allows for a period of public consultation on the applicant’s environmental impact statement, it does not specifically provide for consultation with the wide group described above. The Review concluded that the appeal and review provisions should remain unchanged.</w:t>
      </w:r>
    </w:p>
    <w:p w14:paraId="544A9CBD" w14:textId="26D214F7" w:rsidR="00550535" w:rsidRPr="00A85459" w:rsidRDefault="00550535" w:rsidP="00A85459">
      <w:pPr>
        <w:pStyle w:val="Heading2"/>
      </w:pPr>
      <w:bookmarkStart w:id="45" w:name="_Toc95326279"/>
      <w:r w:rsidRPr="00A85459">
        <w:t>The type of data required by the Regulator</w:t>
      </w:r>
      <w:bookmarkEnd w:id="45"/>
    </w:p>
    <w:p w14:paraId="4D6BD281" w14:textId="647B03F9" w:rsidR="00550535" w:rsidRPr="009A677E" w:rsidRDefault="00550535" w:rsidP="009A677E">
      <w:r w:rsidRPr="009A677E">
        <w:t>Some submissions criticised the type of data that the Regulator accepted as part of applications. This data can include unpublished research and in house studies conducted by the applicant. These submissions argued that such data lacked credibility and it followed that decisions of the Regulator based on this data also lacked credibility. The submissions called for the Regulator to restrict the data submitted to peer reviewed and published studies.</w:t>
      </w:r>
    </w:p>
    <w:p w14:paraId="3C778285" w14:textId="5E5442CB" w:rsidR="00550535" w:rsidRPr="009A677E" w:rsidRDefault="00550535" w:rsidP="009A677E">
      <w:r w:rsidRPr="009A677E">
        <w:t>The Review heard from the Regulator that in developing her risk assessment and RARMPs she was not restricted to the information provided by the applicant and used a range of other sources such as assessments done by other regulatory agencies and the general scientific literature. She expressed concern at any restriction of accepted data to peer reviewed and published data since this would mean that she did not receive raw data on which to make her own independent analysis.</w:t>
      </w:r>
    </w:p>
    <w:p w14:paraId="4FD6F21F" w14:textId="77777777" w:rsidR="00550535" w:rsidRPr="009A677E" w:rsidRDefault="00550535" w:rsidP="009A677E">
      <w:r w:rsidRPr="009A677E">
        <w:lastRenderedPageBreak/>
        <w:t>The Review heard from all the other regulatory agencies that they accept raw data and unpublished studies. These agencies rejected the suggestion of restricting data to peer reviewed and published studies as this would severely limit the value of the information they received. Further, the Review heard that the data requirements of the other regulatory agencies met relevant international standards for datasets.</w:t>
      </w:r>
    </w:p>
    <w:p w14:paraId="773841AD" w14:textId="77777777" w:rsidR="003C5987" w:rsidRPr="009A677E" w:rsidRDefault="00550535" w:rsidP="009A677E">
      <w:r w:rsidRPr="009A677E">
        <w:t>The Review concluded that the type of data accepted by the Regulator was consistent with the other regulatory agencies. The Review noted that there was not yet any international consensus on datasets for GMOs. An international standard for the type of data needed to evaluate GMOs is under development and the Review heard that the Regulator is participating in this process.</w:t>
      </w:r>
    </w:p>
    <w:p w14:paraId="5F47208A" w14:textId="77777777" w:rsidR="00550535" w:rsidRPr="009A677E" w:rsidRDefault="00550535" w:rsidP="009A677E">
      <w:r w:rsidRPr="009A677E">
        <w:t>The Review concluded that the data considered by the Regulator should not be</w:t>
      </w:r>
      <w:r w:rsidR="003C5987" w:rsidRPr="009A677E">
        <w:t xml:space="preserve"> </w:t>
      </w:r>
      <w:r w:rsidRPr="009A677E">
        <w:t>limited to peer reviewed and published studies and that the Regulator should</w:t>
      </w:r>
      <w:r w:rsidR="003C5987" w:rsidRPr="009A677E">
        <w:t xml:space="preserve"> </w:t>
      </w:r>
      <w:r w:rsidRPr="009A677E">
        <w:t>continue to participate actively in international initiatives to develop guidance on</w:t>
      </w:r>
      <w:r w:rsidR="003C5987" w:rsidRPr="009A677E">
        <w:t xml:space="preserve"> </w:t>
      </w:r>
      <w:r w:rsidRPr="009A677E">
        <w:t>appropriate datasets.</w:t>
      </w:r>
    </w:p>
    <w:p w14:paraId="218EF0E2" w14:textId="77777777" w:rsidR="003C5987" w:rsidRPr="009A677E" w:rsidRDefault="003C5987" w:rsidP="009A677E">
      <w:pPr>
        <w:pStyle w:val="Recommendation"/>
      </w:pPr>
      <w:r w:rsidRPr="009A677E">
        <w:t>Recommendation 4.3: The Review recommends that the Regulator continue to participate actively in the development of international guidance on acceptable data packages.</w:t>
      </w:r>
    </w:p>
    <w:p w14:paraId="55967595" w14:textId="77777777" w:rsidR="003C5987" w:rsidRPr="00A85459" w:rsidRDefault="003C5987" w:rsidP="009A677E">
      <w:pPr>
        <w:pStyle w:val="Heading3"/>
      </w:pPr>
      <w:r w:rsidRPr="00A85459">
        <w:t>Data protection</w:t>
      </w:r>
    </w:p>
    <w:p w14:paraId="0829BA49" w14:textId="77777777" w:rsidR="003C5987" w:rsidRPr="008C7B7C" w:rsidRDefault="003C5987" w:rsidP="008C7B7C">
      <w:r w:rsidRPr="008C7B7C">
        <w:t>Some industry submissions called for improvements in data protection under the Act. Currently, there is provision in sections 184–187 to declare information confidential commercial information (CCI) if it meets certain criteria. In addition, some information provided to the Regulator may be patentable and subject to protection through the patents system.</w:t>
      </w:r>
    </w:p>
    <w:p w14:paraId="734C7B14" w14:textId="77777777" w:rsidR="003C5987" w:rsidRPr="008C7B7C" w:rsidRDefault="003C5987" w:rsidP="008C7B7C">
      <w:r w:rsidRPr="008C7B7C">
        <w:t>One submission suggested that the Act may possibly breach Australia’s obligations under the international Agreement on Trade-Related Aspects of Intellectual Property rights (TRIPS).</w:t>
      </w:r>
    </w:p>
    <w:p w14:paraId="13A0F7F6" w14:textId="0F8C0512" w:rsidR="003C5987" w:rsidRPr="008C7B7C" w:rsidRDefault="003C5987" w:rsidP="008C7B7C">
      <w:r w:rsidRPr="008C7B7C">
        <w:t>The relevant paragraphs of the TRIPS Agreement are:</w:t>
      </w:r>
    </w:p>
    <w:p w14:paraId="21556758" w14:textId="77777777" w:rsidR="003C5987" w:rsidRPr="008C7B7C" w:rsidRDefault="003C5987" w:rsidP="008C7B7C">
      <w:pPr>
        <w:ind w:left="720"/>
        <w:rPr>
          <w:i/>
          <w:iCs/>
        </w:rPr>
      </w:pPr>
      <w:r w:rsidRPr="008C7B7C">
        <w:rPr>
          <w:i/>
          <w:iCs/>
        </w:rPr>
        <w:t>Article 39.1… Members shall protect… data submitted to governments or governmental agencies in accordance with paragraph 3.</w:t>
      </w:r>
    </w:p>
    <w:p w14:paraId="5FE55F57" w14:textId="09AB2F3A" w:rsidR="003C5987" w:rsidRPr="008C7B7C" w:rsidRDefault="003C5987" w:rsidP="008C7B7C">
      <w:r w:rsidRPr="008C7B7C">
        <w:t>Article 39.3</w:t>
      </w:r>
    </w:p>
    <w:p w14:paraId="7D87713B" w14:textId="073F7394" w:rsidR="003C5987" w:rsidRPr="008C7B7C" w:rsidRDefault="003C5987" w:rsidP="008C7B7C">
      <w:pPr>
        <w:ind w:left="720"/>
        <w:rPr>
          <w:i/>
          <w:iCs/>
        </w:rPr>
      </w:pPr>
      <w:r w:rsidRPr="008C7B7C">
        <w:rPr>
          <w:i/>
          <w:iCs/>
        </w:rPr>
        <w:t>Members, when requiring, as a condition of approving the marketing of pharmaceutical or of agricultural chemical products which utilize new chemical entities, the submission of undisclosed test or other data, the origination of which involves a considerable effort, shall protect such data against unfair commercial use. In addition, Members shall protect such data against disclosure, except where necessary to protect the public, or unless steps are taken to ensure that the data are protected against unfair commercial use.</w:t>
      </w:r>
    </w:p>
    <w:p w14:paraId="68F9A31A" w14:textId="77777777" w:rsidR="008C7B7C" w:rsidRPr="008C7B7C" w:rsidRDefault="003C5987" w:rsidP="008C7B7C">
      <w:r w:rsidRPr="008C7B7C">
        <w:t>The TRIPS Agreement therefore requires that members must protect data submitted to governments against unfair commercial use when that data is required to obtain marketing approval for pharmaceutical or agricultural chemical products which use new chemical entities.</w:t>
      </w:r>
    </w:p>
    <w:p w14:paraId="0C6FB6CA" w14:textId="4BF31933" w:rsidR="003C5987" w:rsidRPr="008C7B7C" w:rsidRDefault="003C5987" w:rsidP="008C7B7C">
      <w:r w:rsidRPr="008C7B7C">
        <w:t xml:space="preserve">The information that is provided to the Regulator is not required for the purpose of obtaining marketing approval for pharmaceutical or agricultural chemical products that use new chemical entities. Therefore Article 39 of the TRIPS Agreement does not apply. The Review </w:t>
      </w:r>
      <w:r w:rsidRPr="008C7B7C">
        <w:lastRenderedPageBreak/>
        <w:t>noted that some of the other regulatory agencies have provisions that protect data by preventing the decision-maker from using information provided by one applicant in the assessment of a similar product without the agreement and knowledge of the first applicant. However, there is no consistency across regulatory systems and the terms of the protection afforded vary greatly.</w:t>
      </w:r>
    </w:p>
    <w:p w14:paraId="34C428C4" w14:textId="77777777" w:rsidR="004C6606" w:rsidRPr="008C7B7C" w:rsidRDefault="003C5987" w:rsidP="008C7B7C">
      <w:r w:rsidRPr="008C7B7C">
        <w:t xml:space="preserve">The Review heard from industry that the limited data protection available under the Act could potentially be an impediment to conducting research in Australia. The Review concluded that, if this happens, it could be counterproductive to the aims of the National Biotechnology Strategy. </w:t>
      </w:r>
      <w:proofErr w:type="gramStart"/>
      <w:r w:rsidRPr="008C7B7C">
        <w:t>Therefore</w:t>
      </w:r>
      <w:proofErr w:type="gramEnd"/>
      <w:r w:rsidRPr="008C7B7C">
        <w:t xml:space="preserve"> it should be kept under close review and consideration should be given to a process for achieving greater consistency across regulatory systems.</w:t>
      </w:r>
    </w:p>
    <w:p w14:paraId="568BC77A" w14:textId="77777777" w:rsidR="004A0558" w:rsidRPr="004A0558" w:rsidRDefault="004A0558" w:rsidP="009A677E">
      <w:pPr>
        <w:pStyle w:val="Heading2"/>
      </w:pPr>
      <w:bookmarkStart w:id="46" w:name="_Toc95326280"/>
      <w:r w:rsidRPr="004A0558">
        <w:t>Access to information</w:t>
      </w:r>
      <w:bookmarkEnd w:id="46"/>
    </w:p>
    <w:p w14:paraId="4B706E5C" w14:textId="77777777" w:rsidR="004A0558" w:rsidRPr="008C7B7C" w:rsidRDefault="004A0558" w:rsidP="008C7B7C">
      <w:r w:rsidRPr="008C7B7C">
        <w:t>The Review heard calls to increase the information on applications that was made</w:t>
      </w:r>
      <w:r w:rsidR="009151B6" w:rsidRPr="008C7B7C">
        <w:t xml:space="preserve"> </w:t>
      </w:r>
      <w:r w:rsidRPr="008C7B7C">
        <w:t>available to the public. The main concern was the inability to access information</w:t>
      </w:r>
      <w:r w:rsidR="009151B6" w:rsidRPr="008C7B7C">
        <w:t xml:space="preserve"> </w:t>
      </w:r>
      <w:r w:rsidRPr="008C7B7C">
        <w:t>declared by the Regulator to be CCI and difficulties experienced in reviewing some</w:t>
      </w:r>
      <w:r w:rsidR="009151B6" w:rsidRPr="008C7B7C">
        <w:t xml:space="preserve"> </w:t>
      </w:r>
      <w:r w:rsidRPr="008C7B7C">
        <w:t>applications other than in Canberra.</w:t>
      </w:r>
    </w:p>
    <w:p w14:paraId="34AF2551" w14:textId="77777777" w:rsidR="004A0558" w:rsidRPr="008C7B7C" w:rsidRDefault="004A0558" w:rsidP="008C7B7C">
      <w:r w:rsidRPr="008C7B7C">
        <w:t>Currently under the Act, anyone can access the application and supporting</w:t>
      </w:r>
      <w:r w:rsidR="009151B6" w:rsidRPr="008C7B7C">
        <w:t xml:space="preserve"> </w:t>
      </w:r>
      <w:r w:rsidRPr="008C7B7C">
        <w:t>documents with any CCI removed. The Review heard that in most cases copies of</w:t>
      </w:r>
      <w:r w:rsidR="009151B6" w:rsidRPr="008C7B7C">
        <w:t xml:space="preserve"> </w:t>
      </w:r>
      <w:r w:rsidRPr="008C7B7C">
        <w:t xml:space="preserve">this information are posted </w:t>
      </w:r>
      <w:proofErr w:type="gramStart"/>
      <w:r w:rsidRPr="008C7B7C">
        <w:t>out</w:t>
      </w:r>
      <w:proofErr w:type="gramEnd"/>
      <w:r w:rsidRPr="008C7B7C">
        <w:t xml:space="preserve"> but it is the Regulator’s practice that in the case of an</w:t>
      </w:r>
      <w:r w:rsidR="009151B6" w:rsidRPr="008C7B7C">
        <w:t xml:space="preserve"> </w:t>
      </w:r>
      <w:r w:rsidRPr="008C7B7C">
        <w:t>application which runs to several volumes of information, a copy of the completed</w:t>
      </w:r>
      <w:r w:rsidR="009151B6" w:rsidRPr="008C7B7C">
        <w:t xml:space="preserve"> </w:t>
      </w:r>
      <w:r w:rsidRPr="008C7B7C">
        <w:t>application form and the list of supporting documents are posted out. In this case</w:t>
      </w:r>
      <w:r w:rsidR="009151B6" w:rsidRPr="008C7B7C">
        <w:t xml:space="preserve"> </w:t>
      </w:r>
      <w:r w:rsidRPr="008C7B7C">
        <w:t>the whole supporting material is made available for viewing in a reading room in</w:t>
      </w:r>
      <w:r w:rsidR="009151B6" w:rsidRPr="008C7B7C">
        <w:t xml:space="preserve"> </w:t>
      </w:r>
      <w:r w:rsidRPr="008C7B7C">
        <w:t>Canberra or people can request relevant parts of the supporting material to be posted</w:t>
      </w:r>
      <w:r w:rsidR="009151B6" w:rsidRPr="008C7B7C">
        <w:t xml:space="preserve"> </w:t>
      </w:r>
      <w:r w:rsidRPr="008C7B7C">
        <w:t>to them. Some people argued this impeded access unnecessarily.</w:t>
      </w:r>
    </w:p>
    <w:p w14:paraId="6EB66212" w14:textId="77777777" w:rsidR="004A0558" w:rsidRPr="008C7B7C" w:rsidRDefault="004A0558" w:rsidP="008C7B7C">
      <w:r w:rsidRPr="008C7B7C">
        <w:t>The Review heard that prescribed agencies, the Environment Minister, GTTAC and the</w:t>
      </w:r>
      <w:r w:rsidR="009151B6" w:rsidRPr="008C7B7C">
        <w:t xml:space="preserve"> </w:t>
      </w:r>
      <w:r w:rsidRPr="008C7B7C">
        <w:t>States have access to all information in the application including the CCI.</w:t>
      </w:r>
    </w:p>
    <w:p w14:paraId="761803DE" w14:textId="77777777" w:rsidR="004A0558" w:rsidRPr="008C7B7C" w:rsidRDefault="004A0558" w:rsidP="008C7B7C">
      <w:r w:rsidRPr="008C7B7C">
        <w:t>The Review noted that compared with other regulatory agencies and comparable</w:t>
      </w:r>
      <w:r w:rsidR="009151B6" w:rsidRPr="008C7B7C">
        <w:t xml:space="preserve"> </w:t>
      </w:r>
      <w:r w:rsidRPr="008C7B7C">
        <w:t>regulatory agencies overseas, the gene technology regulatory system was amongst the</w:t>
      </w:r>
      <w:r w:rsidR="009151B6" w:rsidRPr="008C7B7C">
        <w:t xml:space="preserve"> </w:t>
      </w:r>
      <w:r w:rsidRPr="008C7B7C">
        <w:t>most transparent, and that reading rooms in Canberra are also operated by some of</w:t>
      </w:r>
      <w:r w:rsidR="009151B6" w:rsidRPr="008C7B7C">
        <w:t xml:space="preserve"> </w:t>
      </w:r>
      <w:r w:rsidRPr="008C7B7C">
        <w:t>the other regulatory agencies. In addition, some of the other regulatory agencies did</w:t>
      </w:r>
      <w:r w:rsidR="009151B6" w:rsidRPr="008C7B7C">
        <w:t xml:space="preserve"> </w:t>
      </w:r>
      <w:r w:rsidRPr="008C7B7C">
        <w:t>not make any information on the application available to the public.</w:t>
      </w:r>
    </w:p>
    <w:p w14:paraId="087633E9" w14:textId="77777777" w:rsidR="004A0558" w:rsidRPr="008C7B7C" w:rsidRDefault="004A0558" w:rsidP="008C7B7C">
      <w:r w:rsidRPr="008C7B7C">
        <w:t>The Review considered the approach taken by the Regulator to public access to</w:t>
      </w:r>
      <w:r w:rsidR="009151B6" w:rsidRPr="008C7B7C">
        <w:t xml:space="preserve"> </w:t>
      </w:r>
      <w:r w:rsidRPr="008C7B7C">
        <w:t>applications which run to several volumes was pragmatic and cost effective. The</w:t>
      </w:r>
      <w:r w:rsidR="009151B6" w:rsidRPr="008C7B7C">
        <w:t xml:space="preserve"> </w:t>
      </w:r>
      <w:r w:rsidRPr="008C7B7C">
        <w:t>Review concluded that the current public access provisions are appropriate and should</w:t>
      </w:r>
      <w:r w:rsidR="009151B6" w:rsidRPr="008C7B7C">
        <w:t xml:space="preserve"> </w:t>
      </w:r>
      <w:r w:rsidRPr="008C7B7C">
        <w:t>not be changed.</w:t>
      </w:r>
    </w:p>
    <w:p w14:paraId="01BA0E46" w14:textId="77777777" w:rsidR="004A0558" w:rsidRPr="009A677E" w:rsidRDefault="004A0558" w:rsidP="009A677E">
      <w:pPr>
        <w:pStyle w:val="Heading2"/>
      </w:pPr>
      <w:bookmarkStart w:id="47" w:name="_Toc95326281"/>
      <w:r w:rsidRPr="009A677E">
        <w:t>Regulator’s technical amendments</w:t>
      </w:r>
      <w:bookmarkEnd w:id="47"/>
    </w:p>
    <w:p w14:paraId="59C25092" w14:textId="77777777" w:rsidR="004A0558" w:rsidRPr="008C7B7C" w:rsidRDefault="004A0558" w:rsidP="008C7B7C">
      <w:r w:rsidRPr="008C7B7C">
        <w:t>The Regulator also suggested minor amendments to the Act that would improve the</w:t>
      </w:r>
      <w:r w:rsidR="009151B6" w:rsidRPr="008C7B7C">
        <w:t xml:space="preserve"> </w:t>
      </w:r>
      <w:r w:rsidRPr="008C7B7C">
        <w:t>workability of the Act but would not change the policy intention of the Act. These</w:t>
      </w:r>
      <w:r w:rsidR="009151B6" w:rsidRPr="008C7B7C">
        <w:t xml:space="preserve"> </w:t>
      </w:r>
      <w:r w:rsidRPr="008C7B7C">
        <w:t>amendments are listed in Appendix 7. The Review supports these suggested amendments.</w:t>
      </w:r>
    </w:p>
    <w:p w14:paraId="3E4AF3EE" w14:textId="77777777" w:rsidR="009151B6" w:rsidRPr="008C7B7C" w:rsidRDefault="004A0558" w:rsidP="008C7B7C">
      <w:pPr>
        <w:pStyle w:val="Recommendation"/>
      </w:pPr>
      <w:r w:rsidRPr="008C7B7C">
        <w:t>Recommendation 4.4: The Review recommends that technical</w:t>
      </w:r>
      <w:r w:rsidR="009151B6" w:rsidRPr="008C7B7C">
        <w:t xml:space="preserve"> </w:t>
      </w:r>
      <w:r w:rsidRPr="008C7B7C">
        <w:t>amendments suggested by the Regulator should be made to improve the</w:t>
      </w:r>
      <w:r w:rsidR="009151B6" w:rsidRPr="008C7B7C">
        <w:t xml:space="preserve"> </w:t>
      </w:r>
      <w:r w:rsidRPr="008C7B7C">
        <w:t>workability of the Act.</w:t>
      </w:r>
    </w:p>
    <w:p w14:paraId="5C7CC095" w14:textId="77777777" w:rsidR="009151B6" w:rsidRPr="008C7B7C" w:rsidRDefault="009151B6" w:rsidP="008C7B7C">
      <w:r>
        <w:br w:type="page"/>
      </w:r>
    </w:p>
    <w:p w14:paraId="38F50D24" w14:textId="6F0D2B3B" w:rsidR="00AE384A" w:rsidRDefault="00D34D0C" w:rsidP="008C7B7C">
      <w:pPr>
        <w:pStyle w:val="Heading1"/>
      </w:pPr>
      <w:bookmarkStart w:id="48" w:name="_Toc95326282"/>
      <w:r>
        <w:lastRenderedPageBreak/>
        <w:t xml:space="preserve">Chapter 5: </w:t>
      </w:r>
      <w:r w:rsidR="008C7B7C">
        <w:t>OPERATION OF THE ACT</w:t>
      </w:r>
      <w:bookmarkEnd w:id="48"/>
    </w:p>
    <w:p w14:paraId="6CF1B90D" w14:textId="77777777" w:rsidR="008C7B7C" w:rsidRPr="000B4132" w:rsidRDefault="008C7B7C" w:rsidP="000B4132">
      <w:pPr>
        <w:shd w:val="clear" w:color="auto" w:fill="E2EFD9" w:themeFill="accent6" w:themeFillTint="33"/>
        <w:rPr>
          <w:b/>
          <w:bCs/>
        </w:rPr>
      </w:pPr>
      <w:r w:rsidRPr="000B4132">
        <w:rPr>
          <w:b/>
          <w:bCs/>
        </w:rPr>
        <w:t>Term of reference 3, 4 and 5:</w:t>
      </w:r>
    </w:p>
    <w:p w14:paraId="0A79B725" w14:textId="09E33841" w:rsidR="008C7B7C" w:rsidRPr="008C7B7C" w:rsidRDefault="008C7B7C" w:rsidP="008C7B7C">
      <w:pPr>
        <w:shd w:val="clear" w:color="auto" w:fill="E2EFD9" w:themeFill="accent6" w:themeFillTint="33"/>
      </w:pPr>
      <w:r w:rsidRPr="008C7B7C">
        <w:t>3. Examine the structure and effectiveness of the OGTR.</w:t>
      </w:r>
    </w:p>
    <w:p w14:paraId="6C2A15A8" w14:textId="77777777" w:rsidR="008C7B7C" w:rsidRPr="008C7B7C" w:rsidRDefault="008C7B7C" w:rsidP="008C7B7C">
      <w:pPr>
        <w:shd w:val="clear" w:color="auto" w:fill="E2EFD9" w:themeFill="accent6" w:themeFillTint="33"/>
      </w:pPr>
      <w:r w:rsidRPr="008C7B7C">
        <w:t>4. Review the consultation provisions of the Act including:</w:t>
      </w:r>
    </w:p>
    <w:p w14:paraId="4679497B" w14:textId="2D6DE655" w:rsidR="008C7B7C" w:rsidRPr="008C7B7C" w:rsidRDefault="008C7B7C" w:rsidP="008C7B7C">
      <w:pPr>
        <w:shd w:val="clear" w:color="auto" w:fill="E2EFD9" w:themeFill="accent6" w:themeFillTint="33"/>
      </w:pPr>
      <w:r w:rsidRPr="008C7B7C">
        <w:t xml:space="preserve">a) their effectiveness with respect to their costs and benefits, including the value of advice received, and the transparency and accountability they </w:t>
      </w:r>
      <w:proofErr w:type="gramStart"/>
      <w:r w:rsidRPr="008C7B7C">
        <w:t>provide;</w:t>
      </w:r>
      <w:proofErr w:type="gramEnd"/>
    </w:p>
    <w:p w14:paraId="3604CA14" w14:textId="7841776F" w:rsidR="008C7B7C" w:rsidRPr="008C7B7C" w:rsidRDefault="008C7B7C" w:rsidP="008C7B7C">
      <w:pPr>
        <w:shd w:val="clear" w:color="auto" w:fill="E2EFD9" w:themeFill="accent6" w:themeFillTint="33"/>
      </w:pPr>
      <w:r>
        <w:t xml:space="preserve">b) </w:t>
      </w:r>
      <w:r w:rsidRPr="008C7B7C">
        <w:t xml:space="preserve">the functions and roles of the statutory advisory </w:t>
      </w:r>
      <w:proofErr w:type="gramStart"/>
      <w:r w:rsidRPr="008C7B7C">
        <w:t>committees;</w:t>
      </w:r>
      <w:proofErr w:type="gramEnd"/>
    </w:p>
    <w:p w14:paraId="70C9254C" w14:textId="58C3F8CD" w:rsidR="008C7B7C" w:rsidRPr="008C7B7C" w:rsidRDefault="008C7B7C" w:rsidP="008C7B7C">
      <w:pPr>
        <w:shd w:val="clear" w:color="auto" w:fill="E2EFD9" w:themeFill="accent6" w:themeFillTint="33"/>
      </w:pPr>
      <w:r>
        <w:t xml:space="preserve">c) </w:t>
      </w:r>
      <w:r w:rsidRPr="008C7B7C">
        <w:t>the statutory timeframes for applications under the Act; and</w:t>
      </w:r>
    </w:p>
    <w:p w14:paraId="6FA8D21D" w14:textId="7C4EF777" w:rsidR="008C7B7C" w:rsidRPr="008C7B7C" w:rsidRDefault="008C7B7C" w:rsidP="008C7B7C">
      <w:pPr>
        <w:shd w:val="clear" w:color="auto" w:fill="E2EFD9" w:themeFill="accent6" w:themeFillTint="33"/>
      </w:pPr>
      <w:r>
        <w:t xml:space="preserve">d) </w:t>
      </w:r>
      <w:r w:rsidRPr="008C7B7C">
        <w:t>the stakeholders included in consultations for various applications under the Act.</w:t>
      </w:r>
    </w:p>
    <w:p w14:paraId="3A9185F7" w14:textId="77777777" w:rsidR="008C7B7C" w:rsidRPr="008C7B7C" w:rsidRDefault="008C7B7C" w:rsidP="008C7B7C">
      <w:pPr>
        <w:shd w:val="clear" w:color="auto" w:fill="E2EFD9" w:themeFill="accent6" w:themeFillTint="33"/>
      </w:pPr>
      <w:r w:rsidRPr="008C7B7C">
        <w:t xml:space="preserve">5. Determine whether the powers of the Act allow enforcement of </w:t>
      </w:r>
      <w:proofErr w:type="gramStart"/>
      <w:r w:rsidRPr="008C7B7C">
        <w:t>compliance</w:t>
      </w:r>
      <w:proofErr w:type="gramEnd"/>
      <w:r w:rsidRPr="008C7B7C">
        <w:t xml:space="preserve"> which is effective and appropriate to the circumstances, including instances where GMOs may be detected that are present unintentionally.</w:t>
      </w:r>
    </w:p>
    <w:p w14:paraId="6C6757AB" w14:textId="77777777" w:rsidR="00AE384A" w:rsidRPr="00411DAD" w:rsidRDefault="00AE384A" w:rsidP="00411DAD">
      <w:pPr>
        <w:rPr>
          <w:b/>
          <w:bCs/>
        </w:rPr>
      </w:pPr>
      <w:proofErr w:type="spellStart"/>
      <w:r w:rsidRPr="00411DAD">
        <w:rPr>
          <w:b/>
          <w:bCs/>
        </w:rPr>
        <w:t>ToR</w:t>
      </w:r>
      <w:proofErr w:type="spellEnd"/>
      <w:r w:rsidRPr="00411DAD">
        <w:rPr>
          <w:b/>
          <w:bCs/>
        </w:rPr>
        <w:t xml:space="preserve"> 3 — Structure and effectiveness of the OGTR</w:t>
      </w:r>
    </w:p>
    <w:p w14:paraId="00AAE5AB" w14:textId="77777777" w:rsidR="00AE384A" w:rsidRPr="00F547BD" w:rsidRDefault="00AE384A" w:rsidP="00F547BD">
      <w:r w:rsidRPr="00F547BD">
        <w:t xml:space="preserve">The Review noted that the issues raised in </w:t>
      </w:r>
      <w:proofErr w:type="spellStart"/>
      <w:r w:rsidRPr="00F547BD">
        <w:t>ToR</w:t>
      </w:r>
      <w:proofErr w:type="spellEnd"/>
      <w:r w:rsidRPr="00F547BD">
        <w:t xml:space="preserve"> 3 were recently the subject of an intensive and thorough review conducted by the Auditor-General (Regulation by the Office of the Gene Technology Regulator, the Auditor-General, Audit Report No 7 2005–06, Performance Audit).</w:t>
      </w:r>
    </w:p>
    <w:p w14:paraId="349DD363" w14:textId="77777777" w:rsidR="00AE384A" w:rsidRPr="00F547BD" w:rsidRDefault="00AE384A" w:rsidP="00F547BD">
      <w:r w:rsidRPr="00F547BD">
        <w:t>The major conclusions of the performance audit were:</w:t>
      </w:r>
    </w:p>
    <w:p w14:paraId="775511CE" w14:textId="4FC0AE49" w:rsidR="00F547BD" w:rsidRPr="00F547BD" w:rsidRDefault="00F547BD" w:rsidP="00F547BD">
      <w:pPr>
        <w:shd w:val="clear" w:color="auto" w:fill="E7E6E6" w:themeFill="background2"/>
      </w:pPr>
      <w:r w:rsidRPr="00F547BD">
        <w:t>29. Overall, OGTR has developed and implemented policies and procedures for the efficient and effective discharge of selected functions entrusted to it under the Gene Technology Act 2000. OGTR has processed applications within the required time frames and has exceeded targets for annual monitoring of DIR field trial sites.</w:t>
      </w:r>
    </w:p>
    <w:p w14:paraId="1598FC62" w14:textId="2889F675" w:rsidR="00F547BD" w:rsidRPr="00F547BD" w:rsidRDefault="00F547BD" w:rsidP="00F547BD">
      <w:pPr>
        <w:shd w:val="clear" w:color="auto" w:fill="E7E6E6" w:themeFill="background2"/>
      </w:pPr>
      <w:r w:rsidRPr="00F547BD">
        <w:t>30. OGTR has good information on its costs and resource requirements, although close monitoring of current staffing levels and the risks to attracting and retaining staff is necessary to ensure that it continues to have the staff necessary for it to effectively perform its regulatory functions.</w:t>
      </w:r>
    </w:p>
    <w:p w14:paraId="2916E87C" w14:textId="77777777" w:rsidR="00F547BD" w:rsidRPr="00F547BD" w:rsidRDefault="00F547BD" w:rsidP="00F547BD">
      <w:pPr>
        <w:shd w:val="clear" w:color="auto" w:fill="E7E6E6" w:themeFill="background2"/>
      </w:pPr>
      <w:r w:rsidRPr="00F547BD">
        <w:t>31. Although OGTR reports a significant amount of operational information,</w:t>
      </w:r>
    </w:p>
    <w:p w14:paraId="6EE1AF51" w14:textId="29AE8DFD" w:rsidR="00F547BD" w:rsidRPr="00F547BD" w:rsidRDefault="00F547BD" w:rsidP="00F547BD">
      <w:pPr>
        <w:shd w:val="clear" w:color="auto" w:fill="E7E6E6" w:themeFill="background2"/>
      </w:pPr>
      <w:r w:rsidRPr="00F547BD">
        <w:t>there is room for better use of this information in measuring and improving performance.</w:t>
      </w:r>
    </w:p>
    <w:p w14:paraId="630FA132" w14:textId="2FC4BDB5" w:rsidR="00F547BD" w:rsidRPr="00F547BD" w:rsidRDefault="00F547BD" w:rsidP="00F547BD">
      <w:pPr>
        <w:shd w:val="clear" w:color="auto" w:fill="E7E6E6" w:themeFill="background2"/>
      </w:pPr>
      <w:r w:rsidRPr="00F547BD">
        <w:t>32. The ANAO has made five recommendations and suggestions for improvement:</w:t>
      </w:r>
    </w:p>
    <w:p w14:paraId="69A7F538" w14:textId="3B2835EB" w:rsidR="00F547BD" w:rsidRPr="00F547BD" w:rsidRDefault="00F547BD" w:rsidP="00F547BD">
      <w:pPr>
        <w:shd w:val="clear" w:color="auto" w:fill="E7E6E6" w:themeFill="background2"/>
      </w:pPr>
      <w:r>
        <w:t xml:space="preserve">- </w:t>
      </w:r>
      <w:r w:rsidRPr="00F547BD">
        <w:t xml:space="preserve">The ANAO recommends that OGTR review and revise its forms and guidance documents in order to facilitate and ensure high level compliance with OGTR information requirements and to facilitate more efficient and effective </w:t>
      </w:r>
      <w:proofErr w:type="gramStart"/>
      <w:r w:rsidRPr="00F547BD">
        <w:t>regulation;</w:t>
      </w:r>
      <w:proofErr w:type="gramEnd"/>
    </w:p>
    <w:p w14:paraId="6B77616C" w14:textId="477C590D" w:rsidR="00F547BD" w:rsidRPr="00F547BD" w:rsidRDefault="00F547BD" w:rsidP="00F547BD">
      <w:pPr>
        <w:shd w:val="clear" w:color="auto" w:fill="E7E6E6" w:themeFill="background2"/>
      </w:pPr>
      <w:r>
        <w:t xml:space="preserve">- </w:t>
      </w:r>
      <w:r w:rsidRPr="00F547BD">
        <w:t xml:space="preserve">In order to facilitate and enhance OGTR decision-making, the ANAO recommends that OGTR develop and publish clear guidance to applicants on the process and policies applied by OGTR in assessing applications for variation, cancellation, transfer and </w:t>
      </w:r>
      <w:proofErr w:type="gramStart"/>
      <w:r w:rsidRPr="00F547BD">
        <w:t>suspension;</w:t>
      </w:r>
      <w:proofErr w:type="gramEnd"/>
    </w:p>
    <w:p w14:paraId="5DE164A5" w14:textId="792C8B72" w:rsidR="00F547BD" w:rsidRPr="00F547BD" w:rsidRDefault="00F547BD" w:rsidP="00F547BD">
      <w:pPr>
        <w:shd w:val="clear" w:color="auto" w:fill="E7E6E6" w:themeFill="background2"/>
      </w:pPr>
      <w:r>
        <w:t xml:space="preserve">- </w:t>
      </w:r>
      <w:r w:rsidRPr="00F547BD">
        <w:t xml:space="preserve">The ANAO recommends that OGTR adopt formal mechanisms for the review of its policy, procedure and guidance documents (and maintain records of such reviews), to ensure that they remain consistent and </w:t>
      </w:r>
      <w:proofErr w:type="gramStart"/>
      <w:r w:rsidRPr="00F547BD">
        <w:t>up-to-date;</w:t>
      </w:r>
      <w:proofErr w:type="gramEnd"/>
    </w:p>
    <w:p w14:paraId="2ADEE3E3" w14:textId="248C6865" w:rsidR="00F547BD" w:rsidRPr="00F547BD" w:rsidRDefault="00F547BD" w:rsidP="00F547BD">
      <w:pPr>
        <w:shd w:val="clear" w:color="auto" w:fill="E7E6E6" w:themeFill="background2"/>
      </w:pPr>
      <w:r>
        <w:lastRenderedPageBreak/>
        <w:t xml:space="preserve">- </w:t>
      </w:r>
      <w:proofErr w:type="gramStart"/>
      <w:r w:rsidRPr="00F547BD">
        <w:t>In order to</w:t>
      </w:r>
      <w:proofErr w:type="gramEnd"/>
      <w:r w:rsidRPr="00F547BD">
        <w:t xml:space="preserve"> provide better information on OGTR monitoring of licences and other instruments, the ANAO recommends that OGTR more fully explain its reported rates of monitoring, including maintaining and publishing information on the number of sites or organisations yet to be visited by OGTR. This will also enable any gaps in OGTR coverage of sites in its monitoring and inspection activities to be more readily </w:t>
      </w:r>
      <w:proofErr w:type="gramStart"/>
      <w:r w:rsidRPr="00F547BD">
        <w:t>identified;</w:t>
      </w:r>
      <w:proofErr w:type="gramEnd"/>
    </w:p>
    <w:p w14:paraId="7FE1AE96" w14:textId="0997C22F" w:rsidR="00F547BD" w:rsidRPr="00F547BD" w:rsidRDefault="00F547BD" w:rsidP="00F547BD">
      <w:pPr>
        <w:shd w:val="clear" w:color="auto" w:fill="E7E6E6" w:themeFill="background2"/>
      </w:pPr>
      <w:r>
        <w:t xml:space="preserve">- </w:t>
      </w:r>
      <w:r w:rsidRPr="00F547BD">
        <w:t xml:space="preserve">The ANAO recommends that OGTR seek clarification of its obligations (arising under the Act) to publicly report annual information on its operations. </w:t>
      </w:r>
      <w:proofErr w:type="gramStart"/>
      <w:r w:rsidRPr="00F547BD">
        <w:t>In order to</w:t>
      </w:r>
      <w:proofErr w:type="gramEnd"/>
      <w:r w:rsidRPr="00F547BD">
        <w:t xml:space="preserve"> facilitate better use of OGTR performance information and foster confidence in OGTR implementation of the Act, OGTR should assess the need for consolidated annual reporting (internal and/or external) of the performance information provided in its quarterly reports, as well as of other relevant information on its activities throughout the year.</w:t>
      </w:r>
    </w:p>
    <w:p w14:paraId="0FF3B7F7" w14:textId="77777777" w:rsidR="00F547BD" w:rsidRPr="004C5E5E" w:rsidRDefault="00F547BD" w:rsidP="00F547BD">
      <w:pPr>
        <w:shd w:val="clear" w:color="auto" w:fill="E7E6E6" w:themeFill="background2"/>
      </w:pPr>
      <w:r w:rsidRPr="004C5E5E">
        <w:t>Health has agreed to all recommendations.</w:t>
      </w:r>
    </w:p>
    <w:p w14:paraId="73B79082" w14:textId="7797E6F5" w:rsidR="004C5E5E" w:rsidRPr="00F547BD" w:rsidRDefault="004C5E5E" w:rsidP="00F547BD">
      <w:r w:rsidRPr="00F547BD">
        <w:t>The OGTR accepted all five of the ANAO recommendations and is in the process of implementing the improvements.</w:t>
      </w:r>
    </w:p>
    <w:p w14:paraId="642FBEC4" w14:textId="1E013BA0" w:rsidR="004C5E5E" w:rsidRPr="00F547BD" w:rsidRDefault="004C5E5E" w:rsidP="00F547BD">
      <w:r w:rsidRPr="00F547BD">
        <w:t>The Review noted that most users of the regulatory system were complimentary about the overall operation and approach of the OGTR with some minor comments in relation to the timeliness and consistency of advice. The Review considers that these issues have been picked up in the ANAO recommendations and other Review recommendations. Additionally, one submission recommended that the legislation be amended to provide for monitoring of licence-holders and DIR licences every three years. Currently there is no legislative requirement that specifies the frequency of monitoring that must be undertaken and the ANAO has recommended making</w:t>
      </w:r>
      <w:r w:rsidR="00603C29" w:rsidRPr="00F547BD">
        <w:t xml:space="preserve"> </w:t>
      </w:r>
      <w:r w:rsidRPr="00F547BD">
        <w:t>more information publicly available so that any gaps in the coverage of monitoring</w:t>
      </w:r>
      <w:r w:rsidR="00603C29" w:rsidRPr="00F547BD">
        <w:t xml:space="preserve"> </w:t>
      </w:r>
      <w:r w:rsidRPr="00F547BD">
        <w:t>activities can be readily identified.</w:t>
      </w:r>
    </w:p>
    <w:p w14:paraId="16B642A4" w14:textId="30592598" w:rsidR="004C5E5E" w:rsidRPr="00F547BD" w:rsidRDefault="004C5E5E" w:rsidP="00F547BD">
      <w:r w:rsidRPr="00F547BD">
        <w:t>The Review noted that the current arrangements provide the Regulator with the</w:t>
      </w:r>
      <w:r w:rsidR="00603C29" w:rsidRPr="00F547BD">
        <w:t xml:space="preserve"> fl</w:t>
      </w:r>
      <w:r w:rsidRPr="00F547BD">
        <w:t xml:space="preserve">exibility to design monitoring programs on a </w:t>
      </w:r>
      <w:proofErr w:type="gramStart"/>
      <w:r w:rsidRPr="00F547BD">
        <w:t>case by case</w:t>
      </w:r>
      <w:proofErr w:type="gramEnd"/>
      <w:r w:rsidRPr="00F547BD">
        <w:t xml:space="preserve"> basis and take into</w:t>
      </w:r>
      <w:r w:rsidR="00603C29" w:rsidRPr="00F547BD">
        <w:t xml:space="preserve"> </w:t>
      </w:r>
      <w:r w:rsidRPr="00F547BD">
        <w:t>account the track record in compliance of the licence-holder. Based on the OGTR’s</w:t>
      </w:r>
      <w:r w:rsidR="00603C29" w:rsidRPr="00F547BD">
        <w:t xml:space="preserve"> </w:t>
      </w:r>
      <w:r w:rsidRPr="00F547BD">
        <w:t>adoption of the ANAO’s recommendations and the OGTR’s monitoring performance,</w:t>
      </w:r>
      <w:r w:rsidR="00603C29" w:rsidRPr="00F547BD">
        <w:t xml:space="preserve"> </w:t>
      </w:r>
      <w:r w:rsidRPr="00F547BD">
        <w:t>the Review concluded that an amendment to the Act to specify a standard monitoring</w:t>
      </w:r>
      <w:r w:rsidR="00603C29" w:rsidRPr="00F547BD">
        <w:t xml:space="preserve"> </w:t>
      </w:r>
      <w:r w:rsidRPr="00F547BD">
        <w:t>frequency was not warranted.</w:t>
      </w:r>
    </w:p>
    <w:p w14:paraId="69275475" w14:textId="67040219" w:rsidR="004C5E5E" w:rsidRPr="00F547BD" w:rsidRDefault="004C5E5E" w:rsidP="00F547BD">
      <w:r w:rsidRPr="00F547BD">
        <w:t>Due to the thoroughness of the ANAO review and its assessment of the structure</w:t>
      </w:r>
      <w:r w:rsidR="00603C29" w:rsidRPr="00F547BD">
        <w:t xml:space="preserve"> </w:t>
      </w:r>
      <w:r w:rsidRPr="00F547BD">
        <w:t>and effectiveness of the OGTR, the Review has not found it necessary to make</w:t>
      </w:r>
      <w:r w:rsidR="00603C29" w:rsidRPr="00F547BD">
        <w:t xml:space="preserve"> </w:t>
      </w:r>
      <w:r w:rsidRPr="00F547BD">
        <w:t>recommendations additional to those of the ANAO.</w:t>
      </w:r>
    </w:p>
    <w:p w14:paraId="24E00644" w14:textId="1FD156AB" w:rsidR="004C5E5E" w:rsidRPr="00F547BD" w:rsidRDefault="004C5E5E" w:rsidP="00F547BD">
      <w:pPr>
        <w:pStyle w:val="Heading2"/>
      </w:pPr>
      <w:bookmarkStart w:id="49" w:name="_Toc95326283"/>
      <w:r w:rsidRPr="00F547BD">
        <w:t>The Regulator’s interpretation of ‘environment’</w:t>
      </w:r>
      <w:bookmarkEnd w:id="49"/>
    </w:p>
    <w:p w14:paraId="415D188C" w14:textId="77777777" w:rsidR="004C5E5E" w:rsidRPr="00F547BD" w:rsidRDefault="004C5E5E" w:rsidP="00F547BD">
      <w:proofErr w:type="gramStart"/>
      <w:r w:rsidRPr="00F547BD">
        <w:t>A number of</w:t>
      </w:r>
      <w:proofErr w:type="gramEnd"/>
      <w:r w:rsidRPr="00F547BD">
        <w:t xml:space="preserve"> submissions suggested that the Regulator had adopted a narrow</w:t>
      </w:r>
      <w:r w:rsidR="00603C29" w:rsidRPr="00F547BD">
        <w:t xml:space="preserve"> </w:t>
      </w:r>
      <w:r w:rsidRPr="00F547BD">
        <w:t>interpretation of the definition of the environment which excluded agricultural systems,</w:t>
      </w:r>
      <w:r w:rsidR="00603C29" w:rsidRPr="00F547BD">
        <w:t xml:space="preserve"> </w:t>
      </w:r>
      <w:r w:rsidRPr="00F547BD">
        <w:t>roadside verges and other non-natural ecosystems. In her submission the Regulator</w:t>
      </w:r>
      <w:r w:rsidR="00603C29" w:rsidRPr="00F547BD">
        <w:t xml:space="preserve"> </w:t>
      </w:r>
      <w:r w:rsidRPr="00F547BD">
        <w:t xml:space="preserve">stated that this was not the case, and that the impact on agricultural and other </w:t>
      </w:r>
      <w:r w:rsidR="00603C29" w:rsidRPr="00F547BD">
        <w:t xml:space="preserve">non-natural </w:t>
      </w:r>
      <w:r w:rsidRPr="00F547BD">
        <w:t xml:space="preserve">ecosystems was </w:t>
      </w:r>
      <w:proofErr w:type="gramStart"/>
      <w:r w:rsidRPr="00F547BD">
        <w:t>taken into account</w:t>
      </w:r>
      <w:proofErr w:type="gramEnd"/>
      <w:r w:rsidRPr="00F547BD">
        <w:t xml:space="preserve"> in her risk assessments and decisions.</w:t>
      </w:r>
    </w:p>
    <w:p w14:paraId="5F3B92B4" w14:textId="77777777" w:rsidR="00F547BD" w:rsidRPr="00F547BD" w:rsidRDefault="00603C29" w:rsidP="00F547BD">
      <w:r w:rsidRPr="00F547BD">
        <w:t xml:space="preserve">This issue was also raised in public consultations. However, having examined </w:t>
      </w:r>
      <w:proofErr w:type="gramStart"/>
      <w:r w:rsidRPr="00F547BD">
        <w:t>a number of</w:t>
      </w:r>
      <w:proofErr w:type="gramEnd"/>
      <w:r w:rsidRPr="00F547BD">
        <w:t xml:space="preserve"> RARMPs, the Review concluded that the Regulator effectively considers the impact of GMOs on the full range of relevant ecosystems.</w:t>
      </w:r>
    </w:p>
    <w:p w14:paraId="7206F1B2" w14:textId="776C1ACF" w:rsidR="00603C29" w:rsidRPr="00603C29" w:rsidRDefault="00603C29" w:rsidP="00F547BD">
      <w:pPr>
        <w:pStyle w:val="Heading2"/>
        <w:rPr>
          <w:rStyle w:val="Heading2Char"/>
          <w:b/>
        </w:rPr>
      </w:pPr>
      <w:bookmarkStart w:id="50" w:name="_Toc95326284"/>
      <w:r w:rsidRPr="00603C29">
        <w:rPr>
          <w:rStyle w:val="Heading2Char"/>
          <w:b/>
        </w:rPr>
        <w:t>How the Regulator deals with public health risks</w:t>
      </w:r>
      <w:bookmarkEnd w:id="50"/>
    </w:p>
    <w:p w14:paraId="36ADC3E3" w14:textId="77777777" w:rsidR="00F547BD" w:rsidRDefault="00603C29" w:rsidP="00F547BD">
      <w:r w:rsidRPr="00603C29">
        <w:t>The Review noted concerns from some members of the public that the Regulator’s</w:t>
      </w:r>
      <w:r>
        <w:t xml:space="preserve"> </w:t>
      </w:r>
      <w:r w:rsidRPr="00603C29">
        <w:t>human health assessment is limited to occupational health and safety risks and</w:t>
      </w:r>
      <w:r>
        <w:t xml:space="preserve"> </w:t>
      </w:r>
      <w:r w:rsidRPr="00603C29">
        <w:t xml:space="preserve">that this meant </w:t>
      </w:r>
      <w:r w:rsidRPr="00603C29">
        <w:lastRenderedPageBreak/>
        <w:t>there was a serious gap in the assessment of public health risks. In</w:t>
      </w:r>
      <w:r>
        <w:t xml:space="preserve"> </w:t>
      </w:r>
      <w:r w:rsidRPr="00603C29">
        <w:t>consultations, the Regulator explained that to assess any given GMO, she identifies all</w:t>
      </w:r>
      <w:r>
        <w:t xml:space="preserve"> </w:t>
      </w:r>
      <w:r w:rsidRPr="00603C29">
        <w:t>possible human health</w:t>
      </w:r>
      <w:r>
        <w:t xml:space="preserve"> risks but where she is satisfi</w:t>
      </w:r>
      <w:r w:rsidRPr="00603C29">
        <w:t>ed that another Commonwealth</w:t>
      </w:r>
      <w:r>
        <w:t xml:space="preserve"> </w:t>
      </w:r>
      <w:r w:rsidRPr="00603C29">
        <w:t xml:space="preserve">regulatory agency will consider some or </w:t>
      </w:r>
      <w:proofErr w:type="gramStart"/>
      <w:r w:rsidRPr="00603C29">
        <w:t>all of</w:t>
      </w:r>
      <w:proofErr w:type="gramEnd"/>
      <w:r w:rsidRPr="00603C29">
        <w:t xml:space="preserve"> the </w:t>
      </w:r>
      <w:r w:rsidRPr="00F547BD">
        <w:t>human</w:t>
      </w:r>
      <w:r w:rsidRPr="00603C29">
        <w:t xml:space="preserve"> health risks, she does</w:t>
      </w:r>
      <w:r>
        <w:t xml:space="preserve"> </w:t>
      </w:r>
      <w:r w:rsidRPr="00603C29">
        <w:t>not duplicate their assessment. Thus, in the case of a GMO that will be used for</w:t>
      </w:r>
      <w:r>
        <w:t xml:space="preserve"> </w:t>
      </w:r>
      <w:r w:rsidRPr="00603C29">
        <w:t>human consumption, she acknowledges that FSANZ is the appropriate body to do an</w:t>
      </w:r>
      <w:r>
        <w:t xml:space="preserve"> </w:t>
      </w:r>
      <w:r w:rsidRPr="00603C29">
        <w:t>assessment of the food as consumed. The Regulator considers the remaining human</w:t>
      </w:r>
      <w:r>
        <w:t xml:space="preserve"> </w:t>
      </w:r>
      <w:r w:rsidRPr="00603C29">
        <w:t>health risks that relate to contact exposure (such as the potential to inhale the GMO</w:t>
      </w:r>
      <w:r>
        <w:t xml:space="preserve"> </w:t>
      </w:r>
      <w:r w:rsidRPr="00603C29">
        <w:t>or come into direct contact with it). However, for a GMO where no product regulatory</w:t>
      </w:r>
      <w:r>
        <w:t xml:space="preserve"> </w:t>
      </w:r>
      <w:r w:rsidRPr="00603C29">
        <w:t>agency can be identified, the Regulator would cover all human health risks.</w:t>
      </w:r>
    </w:p>
    <w:p w14:paraId="4FC82AB1" w14:textId="3CE84BB9" w:rsidR="00603C29" w:rsidRPr="00F547BD" w:rsidRDefault="00603C29" w:rsidP="00F547BD">
      <w:pPr>
        <w:autoSpaceDE w:val="0"/>
        <w:autoSpaceDN w:val="0"/>
        <w:adjustRightInd w:val="0"/>
        <w:spacing w:after="0" w:line="240" w:lineRule="auto"/>
        <w:rPr>
          <w:rStyle w:val="Heading2Char"/>
        </w:rPr>
      </w:pPr>
      <w:bookmarkStart w:id="51" w:name="_Toc95326285"/>
      <w:proofErr w:type="spellStart"/>
      <w:r w:rsidRPr="00F547BD">
        <w:rPr>
          <w:rStyle w:val="Heading2Char"/>
        </w:rPr>
        <w:t>ToR</w:t>
      </w:r>
      <w:proofErr w:type="spellEnd"/>
      <w:r w:rsidRPr="00F547BD">
        <w:rPr>
          <w:rStyle w:val="Heading2Char"/>
        </w:rPr>
        <w:t xml:space="preserve"> 4 — The Regulator’s role in providing information</w:t>
      </w:r>
      <w:bookmarkEnd w:id="51"/>
    </w:p>
    <w:p w14:paraId="4D1AA882" w14:textId="77777777" w:rsidR="00603C29" w:rsidRPr="00F547BD" w:rsidRDefault="00603C29" w:rsidP="00F547BD">
      <w:r w:rsidRPr="00F547BD">
        <w:t>The Review noted that some stakeholders considered that the Regulator should</w:t>
      </w:r>
      <w:r w:rsidR="00DB2094" w:rsidRPr="00F547BD">
        <w:t xml:space="preserve"> </w:t>
      </w:r>
      <w:r w:rsidRPr="00F547BD">
        <w:t>do more to explain gene technology and to promote the potential benefits from</w:t>
      </w:r>
      <w:r w:rsidR="00DB2094" w:rsidRPr="00F547BD">
        <w:t xml:space="preserve"> </w:t>
      </w:r>
      <w:r w:rsidRPr="00F547BD">
        <w:t>using this technology. The Regulator told the Review that her role was restricted to</w:t>
      </w:r>
      <w:r w:rsidR="00DB2094" w:rsidRPr="00F547BD">
        <w:t xml:space="preserve"> </w:t>
      </w:r>
      <w:r w:rsidRPr="00F547BD">
        <w:t>providing information on the gene technology regulatory system and explaining her</w:t>
      </w:r>
      <w:r w:rsidR="00DB2094" w:rsidRPr="00F547BD">
        <w:t xml:space="preserve"> </w:t>
      </w:r>
      <w:r w:rsidRPr="00F547BD">
        <w:t>decisions. The Review noted that other government agencies such as Biotechnology</w:t>
      </w:r>
      <w:r w:rsidR="00DB2094" w:rsidRPr="00F547BD">
        <w:t xml:space="preserve"> </w:t>
      </w:r>
      <w:r w:rsidRPr="00F547BD">
        <w:t>Australia provide more general information on gene technology and biotechnology</w:t>
      </w:r>
      <w:r w:rsidR="00DB2094" w:rsidRPr="00F547BD">
        <w:t xml:space="preserve"> </w:t>
      </w:r>
      <w:r w:rsidRPr="00F547BD">
        <w:t>and agreed that it was not the Regulator’s responsibility to promote gene technology.</w:t>
      </w:r>
    </w:p>
    <w:p w14:paraId="53AF97D8" w14:textId="77777777" w:rsidR="00603C29" w:rsidRPr="00F547BD" w:rsidRDefault="00603C29" w:rsidP="00F547BD">
      <w:r w:rsidRPr="00F547BD">
        <w:t>With reference to what information is made publicly available via the record of</w:t>
      </w:r>
      <w:r w:rsidR="00DB2094" w:rsidRPr="00F547BD">
        <w:t xml:space="preserve"> </w:t>
      </w:r>
      <w:r w:rsidRPr="00F547BD">
        <w:t>GMO and GM product dealings, one submission recommended that the existing</w:t>
      </w:r>
      <w:r w:rsidR="00DB2094" w:rsidRPr="00F547BD">
        <w:t xml:space="preserve"> </w:t>
      </w:r>
      <w:r w:rsidRPr="00F547BD">
        <w:t>provisions be</w:t>
      </w:r>
      <w:r w:rsidR="00DB2094" w:rsidRPr="00F547BD">
        <w:t xml:space="preserve"> </w:t>
      </w:r>
      <w:r w:rsidRPr="00F547BD">
        <w:t>extended substantially. The Review noted that there is already extensive</w:t>
      </w:r>
      <w:r w:rsidR="00DB2094" w:rsidRPr="00F547BD">
        <w:t xml:space="preserve"> </w:t>
      </w:r>
      <w:r w:rsidRPr="00F547BD">
        <w:t>information made publicly available, and that the extent of the information</w:t>
      </w:r>
      <w:r w:rsidR="00DB2094" w:rsidRPr="00F547BD">
        <w:t xml:space="preserve"> </w:t>
      </w:r>
      <w:r w:rsidRPr="00F547BD">
        <w:t>contained in the record is wider than that available in comparable regulatory systems.</w:t>
      </w:r>
    </w:p>
    <w:p w14:paraId="1261278B" w14:textId="77777777" w:rsidR="00603C29" w:rsidRPr="00F547BD" w:rsidRDefault="00603C29" w:rsidP="00F547BD">
      <w:r w:rsidRPr="00F547BD">
        <w:t>The Review thus considered it unnecessary to extend the provisions.</w:t>
      </w:r>
    </w:p>
    <w:p w14:paraId="3082B762" w14:textId="77777777" w:rsidR="003211D3" w:rsidRPr="00F547BD" w:rsidRDefault="00603C29" w:rsidP="00F547BD">
      <w:r w:rsidRPr="00F547BD">
        <w:t>The Review also noted concerns from some stakeholders that there were some</w:t>
      </w:r>
      <w:r w:rsidR="00DB2094" w:rsidRPr="00F547BD">
        <w:t xml:space="preserve"> </w:t>
      </w:r>
      <w:r w:rsidRPr="00F547BD">
        <w:t>human health risks that were not considered by the Regulator, particularly when a</w:t>
      </w:r>
      <w:r w:rsidR="00DB2094" w:rsidRPr="00F547BD">
        <w:t xml:space="preserve"> GMO was still at the fi</w:t>
      </w:r>
      <w:r w:rsidRPr="00F547BD">
        <w:t>eld trial stage. After exploring this issue in depth, the Review</w:t>
      </w:r>
      <w:r w:rsidR="00DB2094" w:rsidRPr="00F547BD">
        <w:t xml:space="preserve"> </w:t>
      </w:r>
      <w:r w:rsidRPr="00F547BD">
        <w:t>concluded that these concerns were a result of miscommunication, as it was clear</w:t>
      </w:r>
      <w:r w:rsidR="00DB2094" w:rsidRPr="00F547BD">
        <w:t xml:space="preserve"> </w:t>
      </w:r>
      <w:r w:rsidRPr="00F547BD">
        <w:t>from examining RARMPs that the Regulator, where relevant, imposed conditions on</w:t>
      </w:r>
      <w:r w:rsidR="00DB2094" w:rsidRPr="00F547BD">
        <w:t xml:space="preserve"> </w:t>
      </w:r>
      <w:r w:rsidRPr="00F547BD">
        <w:t>field trials of GMOs to prohibit GMOs being used as food for animals or humans. This</w:t>
      </w:r>
      <w:r w:rsidR="00DB2094" w:rsidRPr="00F547BD">
        <w:t xml:space="preserve"> </w:t>
      </w:r>
      <w:r w:rsidRPr="00F547BD">
        <w:t>was because at the field trial stage, the GMOs would not usually have undergone an</w:t>
      </w:r>
      <w:r w:rsidR="00DB2094" w:rsidRPr="00F547BD">
        <w:t xml:space="preserve"> </w:t>
      </w:r>
      <w:r w:rsidRPr="00F547BD">
        <w:t>assessment by FSANZ. To avoid these misperceptions the Review suggests that the</w:t>
      </w:r>
      <w:r w:rsidR="00DB2094" w:rsidRPr="00F547BD">
        <w:t xml:space="preserve"> </w:t>
      </w:r>
      <w:r w:rsidRPr="00F547BD">
        <w:t>Regulator clarify the language used in summary documents.</w:t>
      </w:r>
    </w:p>
    <w:p w14:paraId="275D00D3" w14:textId="77777777" w:rsidR="003211D3" w:rsidRPr="003211D3" w:rsidRDefault="003211D3" w:rsidP="00F547BD">
      <w:pPr>
        <w:pStyle w:val="Heading2"/>
      </w:pPr>
      <w:bookmarkStart w:id="52" w:name="_Toc95326286"/>
      <w:r w:rsidRPr="003211D3">
        <w:t>Statutory advisory committees</w:t>
      </w:r>
      <w:bookmarkEnd w:id="52"/>
    </w:p>
    <w:p w14:paraId="22EBC4AA" w14:textId="4340A079" w:rsidR="003211D3" w:rsidRPr="00F547BD" w:rsidRDefault="003211D3" w:rsidP="00F547BD">
      <w:pPr>
        <w:pStyle w:val="Heading3"/>
        <w:rPr>
          <w:rStyle w:val="Heading2Char"/>
          <w:b/>
          <w:sz w:val="22"/>
          <w:szCs w:val="24"/>
        </w:rPr>
      </w:pPr>
      <w:bookmarkStart w:id="53" w:name="_Toc95326287"/>
      <w:r w:rsidRPr="00F547BD">
        <w:rPr>
          <w:rStyle w:val="Heading2Char"/>
          <w:b/>
          <w:sz w:val="22"/>
          <w:szCs w:val="24"/>
        </w:rPr>
        <w:t>Roles and functions</w:t>
      </w:r>
      <w:bookmarkEnd w:id="53"/>
    </w:p>
    <w:p w14:paraId="49E48520" w14:textId="74387F82" w:rsidR="003211D3" w:rsidRPr="00F547BD" w:rsidRDefault="003211D3" w:rsidP="00F547BD">
      <w:r w:rsidRPr="00F547BD">
        <w:t>The consultation provisions of the Act were a central element of the Review’s discussions with the public and stakeholders. There were divided views on the effectiveness and appropriateness of these provisions.</w:t>
      </w:r>
    </w:p>
    <w:p w14:paraId="5ED3EE85" w14:textId="36809DC1" w:rsidR="003211D3" w:rsidRPr="00F547BD" w:rsidRDefault="003211D3" w:rsidP="00F547BD">
      <w:r w:rsidRPr="00F547BD">
        <w:t>There are currently three statutory advisory committees under the Act — GTTAC, GTEC and GTCCC. Communiqués providing an overview of the matters considered at each of the committees’ respective meetings are published on the OGTR website.</w:t>
      </w:r>
    </w:p>
    <w:p w14:paraId="0372529D" w14:textId="77777777" w:rsidR="003211D3" w:rsidRPr="00F547BD" w:rsidRDefault="003211D3" w:rsidP="00F547BD">
      <w:r w:rsidRPr="00F547BD">
        <w:t>GTTAC provides scientific and technical advice, on the request of the Regulator or the GTMC, on:</w:t>
      </w:r>
    </w:p>
    <w:p w14:paraId="53D812E5" w14:textId="77777777" w:rsidR="003211D3" w:rsidRPr="00F547BD" w:rsidRDefault="003211D3" w:rsidP="009F018E">
      <w:pPr>
        <w:pStyle w:val="ListParagraph"/>
        <w:numPr>
          <w:ilvl w:val="0"/>
          <w:numId w:val="7"/>
        </w:numPr>
      </w:pPr>
      <w:r w:rsidRPr="00F547BD">
        <w:lastRenderedPageBreak/>
        <w:t xml:space="preserve">gene </w:t>
      </w:r>
      <w:proofErr w:type="gramStart"/>
      <w:r w:rsidRPr="00F547BD">
        <w:t>technology;</w:t>
      </w:r>
      <w:proofErr w:type="gramEnd"/>
    </w:p>
    <w:p w14:paraId="2359CE6F" w14:textId="77777777" w:rsidR="003211D3" w:rsidRPr="00F547BD" w:rsidRDefault="003211D3" w:rsidP="009F018E">
      <w:pPr>
        <w:pStyle w:val="ListParagraph"/>
        <w:numPr>
          <w:ilvl w:val="0"/>
          <w:numId w:val="7"/>
        </w:numPr>
      </w:pPr>
      <w:r w:rsidRPr="00F547BD">
        <w:t xml:space="preserve">GMOs and GM </w:t>
      </w:r>
      <w:proofErr w:type="gramStart"/>
      <w:r w:rsidRPr="00F547BD">
        <w:t>products;</w:t>
      </w:r>
      <w:proofErr w:type="gramEnd"/>
    </w:p>
    <w:p w14:paraId="475139BD" w14:textId="77777777" w:rsidR="003211D3" w:rsidRPr="00F547BD" w:rsidRDefault="003211D3" w:rsidP="009F018E">
      <w:pPr>
        <w:pStyle w:val="ListParagraph"/>
        <w:numPr>
          <w:ilvl w:val="0"/>
          <w:numId w:val="7"/>
        </w:numPr>
      </w:pPr>
      <w:r w:rsidRPr="00F547BD">
        <w:t xml:space="preserve">applications made under the </w:t>
      </w:r>
      <w:proofErr w:type="gramStart"/>
      <w:r w:rsidRPr="00F547BD">
        <w:t>Act;</w:t>
      </w:r>
      <w:proofErr w:type="gramEnd"/>
    </w:p>
    <w:p w14:paraId="1220D118" w14:textId="77777777" w:rsidR="003211D3" w:rsidRPr="00F547BD" w:rsidRDefault="003211D3" w:rsidP="009F018E">
      <w:pPr>
        <w:pStyle w:val="ListParagraph"/>
        <w:numPr>
          <w:ilvl w:val="0"/>
          <w:numId w:val="7"/>
        </w:numPr>
      </w:pPr>
      <w:r w:rsidRPr="00F547BD">
        <w:t>biosafety aspects of gene technology; and</w:t>
      </w:r>
    </w:p>
    <w:p w14:paraId="1002397F" w14:textId="7F30D4F1" w:rsidR="003211D3" w:rsidRPr="00F547BD" w:rsidRDefault="003211D3" w:rsidP="009F018E">
      <w:pPr>
        <w:pStyle w:val="ListParagraph"/>
        <w:numPr>
          <w:ilvl w:val="0"/>
          <w:numId w:val="7"/>
        </w:numPr>
      </w:pPr>
      <w:r w:rsidRPr="00F547BD">
        <w:t>the need for and content of policy principles, policy guidelines, codes of practice and technical and procedural guidelines.</w:t>
      </w:r>
    </w:p>
    <w:p w14:paraId="40648452" w14:textId="77777777" w:rsidR="003211D3" w:rsidRPr="00F547BD" w:rsidRDefault="003211D3" w:rsidP="00F547BD">
      <w:r w:rsidRPr="00F547BD">
        <w:t>GTTAC’s key role is to provide expert scientific advice to the Regulator on applications and on risk assessment and risk management plans.</w:t>
      </w:r>
    </w:p>
    <w:p w14:paraId="6C4EAA63" w14:textId="77777777" w:rsidR="003211D3" w:rsidRPr="00F547BD" w:rsidRDefault="003211D3" w:rsidP="00F547BD">
      <w:r w:rsidRPr="00F547BD">
        <w:t>GTCCC provides advice at the request of the Regulator or the GTMC on:</w:t>
      </w:r>
    </w:p>
    <w:p w14:paraId="0500AC00" w14:textId="77777777" w:rsidR="003211D3" w:rsidRPr="00F547BD" w:rsidRDefault="003211D3" w:rsidP="009F018E">
      <w:pPr>
        <w:pStyle w:val="ListParagraph"/>
        <w:numPr>
          <w:ilvl w:val="0"/>
          <w:numId w:val="8"/>
        </w:numPr>
      </w:pPr>
      <w:r w:rsidRPr="00F547BD">
        <w:t>matters of general concern in relation to GMOs; and</w:t>
      </w:r>
    </w:p>
    <w:p w14:paraId="05D31E9F" w14:textId="77777777" w:rsidR="003211D3" w:rsidRPr="00F547BD" w:rsidRDefault="003211D3" w:rsidP="009F018E">
      <w:pPr>
        <w:pStyle w:val="ListParagraph"/>
        <w:numPr>
          <w:ilvl w:val="0"/>
          <w:numId w:val="8"/>
        </w:numPr>
      </w:pPr>
      <w:r w:rsidRPr="00F547BD">
        <w:t>the need for and content of policy principles, policy guidelines, codes of practice and technical and procedural guidelines.</w:t>
      </w:r>
    </w:p>
    <w:p w14:paraId="34D4D444" w14:textId="6664BC4D" w:rsidR="003211D3" w:rsidRPr="00F547BD" w:rsidRDefault="003211D3" w:rsidP="00F547BD">
      <w:r w:rsidRPr="00F547BD">
        <w:t>GTCCC’s key role is to advise on issues of concern to the community and to ensure</w:t>
      </w:r>
      <w:r w:rsidR="00267FAB" w:rsidRPr="00F547BD">
        <w:t xml:space="preserve"> </w:t>
      </w:r>
      <w:r w:rsidRPr="00F547BD">
        <w:t>that these are addressed in the policy underpinning the regulatory scheme. There is</w:t>
      </w:r>
      <w:r w:rsidR="00267FAB" w:rsidRPr="00F547BD">
        <w:t xml:space="preserve"> </w:t>
      </w:r>
      <w:r w:rsidRPr="00F547BD">
        <w:t>no analogous committee in any other jurisdiction, including internationally.</w:t>
      </w:r>
    </w:p>
    <w:p w14:paraId="63DFFB5C" w14:textId="77777777" w:rsidR="003211D3" w:rsidRPr="00F547BD" w:rsidRDefault="003211D3" w:rsidP="00F547BD">
      <w:r w:rsidRPr="00F547BD">
        <w:t>GTEC provides advice at the request of the Regulator or the GTMC on:</w:t>
      </w:r>
    </w:p>
    <w:p w14:paraId="22BADD47" w14:textId="77777777" w:rsidR="003211D3" w:rsidRPr="00F547BD" w:rsidRDefault="003211D3" w:rsidP="009F018E">
      <w:pPr>
        <w:pStyle w:val="ListParagraph"/>
        <w:numPr>
          <w:ilvl w:val="0"/>
          <w:numId w:val="9"/>
        </w:numPr>
      </w:pPr>
      <w:r w:rsidRPr="00F547BD">
        <w:t xml:space="preserve">ethical issues relating to gene </w:t>
      </w:r>
      <w:proofErr w:type="gramStart"/>
      <w:r w:rsidRPr="00F547BD">
        <w:t>technology;</w:t>
      </w:r>
      <w:proofErr w:type="gramEnd"/>
    </w:p>
    <w:p w14:paraId="75C7B2FF" w14:textId="77777777" w:rsidR="003211D3" w:rsidRPr="00F547BD" w:rsidRDefault="003211D3" w:rsidP="009F018E">
      <w:pPr>
        <w:pStyle w:val="ListParagraph"/>
        <w:numPr>
          <w:ilvl w:val="0"/>
          <w:numId w:val="9"/>
        </w:numPr>
      </w:pPr>
      <w:r w:rsidRPr="00F547BD">
        <w:t>the need for and content of codes of practice in relation to ethical conduct</w:t>
      </w:r>
      <w:r w:rsidR="00267FAB" w:rsidRPr="00F547BD">
        <w:t xml:space="preserve"> </w:t>
      </w:r>
      <w:r w:rsidRPr="00F547BD">
        <w:t>when dealing with GMOs; and</w:t>
      </w:r>
    </w:p>
    <w:p w14:paraId="092AE869" w14:textId="77777777" w:rsidR="003211D3" w:rsidRDefault="003211D3" w:rsidP="009F018E">
      <w:pPr>
        <w:pStyle w:val="ListParagraph"/>
        <w:numPr>
          <w:ilvl w:val="0"/>
          <w:numId w:val="9"/>
        </w:numPr>
      </w:pPr>
      <w:r w:rsidRPr="00F547BD">
        <w:t>the need for and content of policy principles relating to dealings with GMOs</w:t>
      </w:r>
      <w:r w:rsidR="00267FAB" w:rsidRPr="00F547BD">
        <w:t xml:space="preserve"> </w:t>
      </w:r>
      <w:r w:rsidRPr="00F547BD">
        <w:t>that should not</w:t>
      </w:r>
      <w:r w:rsidRPr="00267FAB">
        <w:t xml:space="preserve"> be conducted for ethical reasons.</w:t>
      </w:r>
    </w:p>
    <w:p w14:paraId="25AE97A4" w14:textId="77777777" w:rsidR="00267FAB" w:rsidRPr="00F547BD" w:rsidRDefault="003211D3" w:rsidP="00F547BD">
      <w:r w:rsidRPr="00F547BD">
        <w:t>GTEC’s key role is to provide advice on the ethical dimensions of dealings involving</w:t>
      </w:r>
      <w:r w:rsidR="00267FAB" w:rsidRPr="00F547BD">
        <w:t xml:space="preserve"> </w:t>
      </w:r>
      <w:r w:rsidRPr="00F547BD">
        <w:t>gene technology.</w:t>
      </w:r>
    </w:p>
    <w:p w14:paraId="28A1577F" w14:textId="77777777" w:rsidR="00267FAB" w:rsidRDefault="00267FAB" w:rsidP="00F547BD">
      <w:r w:rsidRPr="00267FAB">
        <w:t>Many submissions to the Review expressed concerns about the functions and</w:t>
      </w:r>
      <w:r w:rsidR="005B2562">
        <w:t xml:space="preserve"> </w:t>
      </w:r>
      <w:r w:rsidRPr="00267FAB">
        <w:t>roles of the three statutory advisory committees. The concerns ranged from the</w:t>
      </w:r>
      <w:r w:rsidR="005B2562">
        <w:t xml:space="preserve"> </w:t>
      </w:r>
      <w:r w:rsidRPr="00267FAB">
        <w:t>appropriateness of the membership to the type of advice that each provides to the</w:t>
      </w:r>
      <w:r w:rsidR="005B2562">
        <w:t xml:space="preserve"> </w:t>
      </w:r>
      <w:r w:rsidRPr="00267FAB">
        <w:t>Regulator, as well as the transparency in their operations and the appointment</w:t>
      </w:r>
      <w:r w:rsidR="005B2562">
        <w:t xml:space="preserve"> </w:t>
      </w:r>
      <w:r w:rsidRPr="00267FAB">
        <w:t>processes. In particular, the Review heard repeated concerns about the fact that the</w:t>
      </w:r>
      <w:r w:rsidR="005B2562">
        <w:t xml:space="preserve"> </w:t>
      </w:r>
      <w:r w:rsidRPr="00267FAB">
        <w:t>GTCCC has not been constituted since October 2004 because of delays in the reappointment</w:t>
      </w:r>
      <w:r w:rsidR="005B2562">
        <w:t xml:space="preserve"> </w:t>
      </w:r>
      <w:r w:rsidRPr="00267FAB">
        <w:t xml:space="preserve">process. For this </w:t>
      </w:r>
      <w:proofErr w:type="gramStart"/>
      <w:r w:rsidRPr="00267FAB">
        <w:t>reason</w:t>
      </w:r>
      <w:proofErr w:type="gramEnd"/>
      <w:r w:rsidRPr="00267FAB">
        <w:t xml:space="preserve"> the Review did not have the opportunity to</w:t>
      </w:r>
      <w:r w:rsidR="005B2562">
        <w:t xml:space="preserve"> </w:t>
      </w:r>
      <w:r w:rsidRPr="00267FAB">
        <w:t>consult with the GTCCC. The Review noted that the appointment process for the</w:t>
      </w:r>
      <w:r w:rsidR="005B2562">
        <w:t xml:space="preserve"> </w:t>
      </w:r>
      <w:r w:rsidRPr="00267FAB">
        <w:t>committees was not a responsibility of the Regulator and was managed by the GTMC.</w:t>
      </w:r>
    </w:p>
    <w:p w14:paraId="1A947CD8" w14:textId="4CE04A9B" w:rsidR="00267FAB" w:rsidRPr="005B2562" w:rsidRDefault="00267FAB" w:rsidP="00F547BD">
      <w:pPr>
        <w:pStyle w:val="Heading3"/>
      </w:pPr>
      <w:r w:rsidRPr="005B2562">
        <w:t>GTTAC</w:t>
      </w:r>
    </w:p>
    <w:p w14:paraId="4D863147" w14:textId="77777777" w:rsidR="00267FAB" w:rsidRPr="00CF426B" w:rsidRDefault="00267FAB" w:rsidP="00CF426B">
      <w:r w:rsidRPr="00CF426B">
        <w:t xml:space="preserve">Under subsection 50 (3) of the Act, which relates to dealings involving </w:t>
      </w:r>
      <w:r w:rsidR="005B2562" w:rsidRPr="00CF426B">
        <w:t>an</w:t>
      </w:r>
      <w:r w:rsidRPr="00CF426B">
        <w:t xml:space="preserve"> DIR:</w:t>
      </w:r>
    </w:p>
    <w:p w14:paraId="301D3D39" w14:textId="77777777" w:rsidR="00603C29" w:rsidRPr="00CF426B" w:rsidRDefault="00267FAB" w:rsidP="00CF426B">
      <w:r w:rsidRPr="00CF426B">
        <w:t>The Regulator must seek advice on matters relevant to the preparation of the risk</w:t>
      </w:r>
      <w:r w:rsidR="005B2562" w:rsidRPr="00CF426B">
        <w:t xml:space="preserve"> </w:t>
      </w:r>
      <w:r w:rsidRPr="00CF426B">
        <w:t>assessment and the risk management plan from:</w:t>
      </w:r>
    </w:p>
    <w:p w14:paraId="3C3DAD50" w14:textId="1C826FE7" w:rsidR="00CF426B" w:rsidRPr="00CF426B" w:rsidRDefault="00CF426B" w:rsidP="00CF426B">
      <w:pPr>
        <w:shd w:val="clear" w:color="auto" w:fill="E7E6E6" w:themeFill="background2"/>
      </w:pPr>
      <w:r>
        <w:t xml:space="preserve">a) </w:t>
      </w:r>
      <w:r w:rsidRPr="00CF426B">
        <w:t>the States; and</w:t>
      </w:r>
    </w:p>
    <w:p w14:paraId="252E9D2C" w14:textId="6B1CD747" w:rsidR="00CF426B" w:rsidRPr="00CF426B" w:rsidRDefault="00CF426B" w:rsidP="00CF426B">
      <w:pPr>
        <w:shd w:val="clear" w:color="auto" w:fill="E7E6E6" w:themeFill="background2"/>
      </w:pPr>
      <w:r>
        <w:t xml:space="preserve">b) </w:t>
      </w:r>
      <w:r w:rsidRPr="00CF426B">
        <w:t>the Gene Technology Technical Advisory Committee; and</w:t>
      </w:r>
    </w:p>
    <w:p w14:paraId="085062ED" w14:textId="5FDBF074" w:rsidR="00CF426B" w:rsidRPr="00CF426B" w:rsidRDefault="00CF426B" w:rsidP="00CF426B">
      <w:pPr>
        <w:shd w:val="clear" w:color="auto" w:fill="E7E6E6" w:themeFill="background2"/>
      </w:pPr>
      <w:r>
        <w:t xml:space="preserve">c) </w:t>
      </w:r>
      <w:r w:rsidRPr="00CF426B">
        <w:t>each Commonwealth authority or agency prescribed by the regulations</w:t>
      </w:r>
    </w:p>
    <w:p w14:paraId="0EEFCB95" w14:textId="7CC8CB6D" w:rsidR="00CF426B" w:rsidRPr="00CF426B" w:rsidRDefault="00CF426B" w:rsidP="00CF426B">
      <w:pPr>
        <w:shd w:val="clear" w:color="auto" w:fill="E7E6E6" w:themeFill="background2"/>
      </w:pPr>
      <w:r>
        <w:t xml:space="preserve">d) </w:t>
      </w:r>
      <w:r w:rsidRPr="00CF426B">
        <w:t>for the purposes of this paragraph; and</w:t>
      </w:r>
    </w:p>
    <w:p w14:paraId="2061D06C" w14:textId="60EB4ADE" w:rsidR="00CF426B" w:rsidRPr="00CF426B" w:rsidRDefault="00CF426B" w:rsidP="00CF426B">
      <w:pPr>
        <w:shd w:val="clear" w:color="auto" w:fill="E7E6E6" w:themeFill="background2"/>
      </w:pPr>
      <w:r>
        <w:t xml:space="preserve">e) </w:t>
      </w:r>
      <w:r w:rsidRPr="00CF426B">
        <w:t>the Environment Minister; and</w:t>
      </w:r>
    </w:p>
    <w:p w14:paraId="63858909" w14:textId="77777777" w:rsidR="00CF426B" w:rsidRPr="00CF426B" w:rsidRDefault="00CF426B" w:rsidP="00CF426B">
      <w:pPr>
        <w:shd w:val="clear" w:color="auto" w:fill="E7E6E6" w:themeFill="background2"/>
      </w:pPr>
      <w:r w:rsidRPr="00CF426B">
        <w:lastRenderedPageBreak/>
        <w:t>any local council that the Regulator considers appropriate.</w:t>
      </w:r>
    </w:p>
    <w:p w14:paraId="14E71B41" w14:textId="77777777" w:rsidR="00CF426B" w:rsidRPr="00CF426B" w:rsidRDefault="00CF426B" w:rsidP="00CF426B">
      <w:pPr>
        <w:shd w:val="clear" w:color="auto" w:fill="E7E6E6" w:themeFill="background2"/>
      </w:pPr>
      <w:r w:rsidRPr="00CF426B">
        <w:t>In practical terms, the Regulator is required to consult with GTTAC twice for</w:t>
      </w:r>
    </w:p>
    <w:p w14:paraId="010D3F32" w14:textId="77777777" w:rsidR="00CF426B" w:rsidRPr="00CF426B" w:rsidRDefault="00CF426B" w:rsidP="00CF426B">
      <w:pPr>
        <w:shd w:val="clear" w:color="auto" w:fill="E7E6E6" w:themeFill="background2"/>
      </w:pPr>
      <w:r w:rsidRPr="00CF426B">
        <w:t>DIR applications: on the application itself and in developing the RARMP.</w:t>
      </w:r>
    </w:p>
    <w:p w14:paraId="641493B8" w14:textId="77777777" w:rsidR="005B2562" w:rsidRPr="00CF426B" w:rsidRDefault="00F35033" w:rsidP="00CF426B">
      <w:r w:rsidRPr="00CF426B">
        <w:t>For dealings not involving intentional release of a GMO into the environment</w:t>
      </w:r>
      <w:r w:rsidR="005B2562" w:rsidRPr="00CF426B">
        <w:t xml:space="preserve"> (DNIR), subsection 47 (4) specifies that:</w:t>
      </w:r>
    </w:p>
    <w:p w14:paraId="154ECDEE" w14:textId="77777777" w:rsidR="00CF426B" w:rsidRPr="00CF426B" w:rsidRDefault="00CF426B" w:rsidP="00CF426B">
      <w:pPr>
        <w:shd w:val="clear" w:color="auto" w:fill="E7E6E6" w:themeFill="background2"/>
      </w:pPr>
      <w:r w:rsidRPr="00CF426B">
        <w:t>The Regulator may consult:</w:t>
      </w:r>
    </w:p>
    <w:p w14:paraId="0B3ECE2D" w14:textId="73D347E1" w:rsidR="00CF426B" w:rsidRPr="00CF426B" w:rsidRDefault="00CF426B" w:rsidP="00CF426B">
      <w:pPr>
        <w:shd w:val="clear" w:color="auto" w:fill="E7E6E6" w:themeFill="background2"/>
      </w:pPr>
      <w:r>
        <w:t xml:space="preserve">a) </w:t>
      </w:r>
      <w:r w:rsidRPr="00CF426B">
        <w:t>the States; and</w:t>
      </w:r>
    </w:p>
    <w:p w14:paraId="0378417F" w14:textId="7AEB4995" w:rsidR="00CF426B" w:rsidRPr="00CF426B" w:rsidRDefault="00CF426B" w:rsidP="00CF426B">
      <w:pPr>
        <w:shd w:val="clear" w:color="auto" w:fill="E7E6E6" w:themeFill="background2"/>
      </w:pPr>
      <w:r>
        <w:t xml:space="preserve">b) </w:t>
      </w:r>
      <w:r w:rsidRPr="00CF426B">
        <w:t>the Gene Technology Technical Advisory Committee; and</w:t>
      </w:r>
    </w:p>
    <w:p w14:paraId="37755641" w14:textId="73BD2793" w:rsidR="00CF426B" w:rsidRPr="00CF426B" w:rsidRDefault="00CF426B" w:rsidP="00CF426B">
      <w:pPr>
        <w:shd w:val="clear" w:color="auto" w:fill="E7E6E6" w:themeFill="background2"/>
      </w:pPr>
      <w:r>
        <w:t xml:space="preserve">c) </w:t>
      </w:r>
      <w:r w:rsidRPr="00CF426B">
        <w:t>relevant Commonwealth authorities or agencies; and</w:t>
      </w:r>
    </w:p>
    <w:p w14:paraId="2B7AC4C8" w14:textId="3B4568E2" w:rsidR="00CF426B" w:rsidRPr="00CF426B" w:rsidRDefault="00CF426B" w:rsidP="00CF426B">
      <w:pPr>
        <w:shd w:val="clear" w:color="auto" w:fill="E7E6E6" w:themeFill="background2"/>
      </w:pPr>
      <w:r>
        <w:t xml:space="preserve">d) </w:t>
      </w:r>
      <w:r w:rsidRPr="00CF426B">
        <w:t>any local council that the Regulator considers appropriate; and</w:t>
      </w:r>
    </w:p>
    <w:p w14:paraId="1FDC01A1" w14:textId="7B7B2841" w:rsidR="00CF426B" w:rsidRPr="00CF426B" w:rsidRDefault="00CF426B" w:rsidP="00CF426B">
      <w:pPr>
        <w:shd w:val="clear" w:color="auto" w:fill="E7E6E6" w:themeFill="background2"/>
      </w:pPr>
      <w:r>
        <w:t xml:space="preserve">e) </w:t>
      </w:r>
      <w:r w:rsidRPr="00CF426B">
        <w:t>any other person the Regulator considers appropriate on any aspect of the application.</w:t>
      </w:r>
    </w:p>
    <w:p w14:paraId="098663F6" w14:textId="77777777" w:rsidR="005B2562" w:rsidRDefault="005B2562" w:rsidP="00CF426B">
      <w:r w:rsidRPr="005B2562">
        <w:t>The Regulator is effectively allowed more discretion in the choice of groups that are</w:t>
      </w:r>
      <w:r>
        <w:t xml:space="preserve"> </w:t>
      </w:r>
      <w:r w:rsidRPr="005B2562">
        <w:t>consulted in the case of DNIRs.</w:t>
      </w:r>
    </w:p>
    <w:p w14:paraId="63A837FA" w14:textId="77777777" w:rsidR="005B2562" w:rsidRPr="005B2562" w:rsidRDefault="005B2562" w:rsidP="00CF426B">
      <w:r w:rsidRPr="005B2562">
        <w:t xml:space="preserve">Industry, </w:t>
      </w:r>
      <w:proofErr w:type="gramStart"/>
      <w:r w:rsidRPr="005B2562">
        <w:t>researchers</w:t>
      </w:r>
      <w:proofErr w:type="gramEnd"/>
      <w:r w:rsidRPr="005B2562">
        <w:t xml:space="preserve"> and farm organisations seeking a </w:t>
      </w:r>
      <w:r w:rsidRPr="00CF426B">
        <w:t>choice</w:t>
      </w:r>
      <w:r w:rsidRPr="005B2562">
        <w:t xml:space="preserve"> to grow GMO crops were</w:t>
      </w:r>
      <w:r>
        <w:t xml:space="preserve"> </w:t>
      </w:r>
      <w:r w:rsidRPr="005B2562">
        <w:t>strongly supportive of GTTAC’s membership and performance in evaluating licence</w:t>
      </w:r>
      <w:r>
        <w:t xml:space="preserve"> </w:t>
      </w:r>
      <w:r w:rsidRPr="005B2562">
        <w:t>applications. Neither of the other two committees advise on licence applications.</w:t>
      </w:r>
      <w:r>
        <w:t xml:space="preserve"> </w:t>
      </w:r>
    </w:p>
    <w:p w14:paraId="47786FD9" w14:textId="47806067" w:rsidR="005B2562" w:rsidRPr="005B2562" w:rsidRDefault="005B2562" w:rsidP="00CF426B">
      <w:r w:rsidRPr="005B2562">
        <w:t>Groups seeking a choice to grow GMOs argued that GTTAC maintains the integrity</w:t>
      </w:r>
      <w:r>
        <w:t xml:space="preserve"> </w:t>
      </w:r>
      <w:r w:rsidRPr="005B2562">
        <w:t xml:space="preserve">of the national, science-based, regulatory framework and </w:t>
      </w:r>
      <w:r w:rsidRPr="00CF426B">
        <w:t>were</w:t>
      </w:r>
      <w:r w:rsidRPr="005B2562">
        <w:t xml:space="preserve"> not supportive of the</w:t>
      </w:r>
      <w:r>
        <w:t xml:space="preserve"> </w:t>
      </w:r>
      <w:r w:rsidRPr="005B2562">
        <w:t>other committees being granted extended roles to consider licence applications.</w:t>
      </w:r>
    </w:p>
    <w:p w14:paraId="7267C599" w14:textId="22FF3805" w:rsidR="005B2562" w:rsidRPr="005B2562" w:rsidRDefault="005B2562" w:rsidP="00CF426B">
      <w:r w:rsidRPr="005B2562">
        <w:t xml:space="preserve">On the other hand, </w:t>
      </w:r>
      <w:r w:rsidRPr="00CF426B">
        <w:t>submissions</w:t>
      </w:r>
      <w:r w:rsidRPr="005B2562">
        <w:t xml:space="preserve"> from NGOs, consumer groups and farming groups</w:t>
      </w:r>
      <w:r>
        <w:t xml:space="preserve"> </w:t>
      </w:r>
      <w:r w:rsidRPr="005B2562">
        <w:t>opposed to the introduction of GMOs argued that GTTAC’s membership should</w:t>
      </w:r>
      <w:r>
        <w:t xml:space="preserve"> </w:t>
      </w:r>
      <w:r w:rsidRPr="005B2562">
        <w:t>include more experts in public health and environmental risk assessment to better</w:t>
      </w:r>
      <w:r>
        <w:t xml:space="preserve"> refl</w:t>
      </w:r>
      <w:r w:rsidRPr="005B2562">
        <w:t>ect the object of the Act.</w:t>
      </w:r>
    </w:p>
    <w:p w14:paraId="121482C2" w14:textId="3414E12C" w:rsidR="005B2562" w:rsidRPr="005B2562" w:rsidRDefault="005B2562" w:rsidP="00CF426B">
      <w:r w:rsidRPr="005B2562">
        <w:t xml:space="preserve">The </w:t>
      </w:r>
      <w:r w:rsidRPr="00CF426B">
        <w:t>Minister</w:t>
      </w:r>
      <w:r w:rsidRPr="005B2562">
        <w:t xml:space="preserve"> can only appoint a person as a member of GTTAC if the Minister is</w:t>
      </w:r>
      <w:r>
        <w:t xml:space="preserve"> </w:t>
      </w:r>
      <w:r w:rsidRPr="005B2562">
        <w:t>satisfied that the person has skills or experien</w:t>
      </w:r>
      <w:r>
        <w:t>ce in one or more areas specifi</w:t>
      </w:r>
      <w:r w:rsidRPr="005B2562">
        <w:t>ed under</w:t>
      </w:r>
      <w:r>
        <w:t xml:space="preserve"> </w:t>
      </w:r>
      <w:r w:rsidRPr="005B2562">
        <w:t xml:space="preserve">subsection 100 (5) of the Act. Public health </w:t>
      </w:r>
      <w:r>
        <w:t>and risk assessment are specifi</w:t>
      </w:r>
      <w:r w:rsidRPr="005B2562">
        <w:t>ed amongst</w:t>
      </w:r>
      <w:r>
        <w:t xml:space="preserve"> </w:t>
      </w:r>
      <w:r w:rsidRPr="005B2562">
        <w:t>the approximately 20 different areas of expertise. The Review heard that existing</w:t>
      </w:r>
      <w:r>
        <w:t xml:space="preserve"> </w:t>
      </w:r>
      <w:r w:rsidRPr="005B2562">
        <w:t>members of GTTAC have expertise in the areas of public health and environmental</w:t>
      </w:r>
      <w:r>
        <w:t xml:space="preserve"> </w:t>
      </w:r>
      <w:r w:rsidRPr="005B2562">
        <w:t xml:space="preserve">risk </w:t>
      </w:r>
      <w:proofErr w:type="gramStart"/>
      <w:r w:rsidRPr="005B2562">
        <w:t>assessment, but</w:t>
      </w:r>
      <w:proofErr w:type="gramEnd"/>
      <w:r w:rsidRPr="005B2562">
        <w:t xml:space="preserve"> noted that while members can claim more than one area of</w:t>
      </w:r>
      <w:r>
        <w:t xml:space="preserve"> </w:t>
      </w:r>
      <w:r w:rsidRPr="005B2562">
        <w:t>expertise, no members have stated that their primary expertise is in the field of public</w:t>
      </w:r>
      <w:r>
        <w:t xml:space="preserve"> </w:t>
      </w:r>
      <w:r w:rsidRPr="005B2562">
        <w:t>health or environmental risk assessment.</w:t>
      </w:r>
    </w:p>
    <w:p w14:paraId="37E90FD7" w14:textId="3EC4358E" w:rsidR="005B2562" w:rsidRPr="005B2562" w:rsidRDefault="005B2562" w:rsidP="00CF426B">
      <w:r w:rsidRPr="005B2562">
        <w:t>To provide transparency that public health and environmental risk assessment are</w:t>
      </w:r>
      <w:r>
        <w:t xml:space="preserve"> c</w:t>
      </w:r>
      <w:r w:rsidRPr="005B2562">
        <w:t xml:space="preserve">onsidered in GTTAC’s deliberations, the Review concluded that GTTAC </w:t>
      </w:r>
      <w:r w:rsidRPr="00CF426B">
        <w:t>should</w:t>
      </w:r>
      <w:r>
        <w:t xml:space="preserve"> </w:t>
      </w:r>
      <w:r w:rsidRPr="005B2562">
        <w:t>include</w:t>
      </w:r>
      <w:r>
        <w:t xml:space="preserve"> </w:t>
      </w:r>
      <w:r w:rsidRPr="005B2562">
        <w:t>members whose primary expertise is in public health and in environmental</w:t>
      </w:r>
      <w:r>
        <w:t xml:space="preserve"> </w:t>
      </w:r>
      <w:r w:rsidRPr="005B2562">
        <w:t>risk assessment. The issue of advice on public health grounds is also considered in</w:t>
      </w:r>
      <w:r>
        <w:t xml:space="preserve"> </w:t>
      </w:r>
      <w:r w:rsidRPr="005B2562">
        <w:t>Recommendation 5.4.</w:t>
      </w:r>
    </w:p>
    <w:p w14:paraId="031169E6" w14:textId="77777777" w:rsidR="005B2562" w:rsidRPr="00CF426B" w:rsidRDefault="005B2562" w:rsidP="00CF426B">
      <w:pPr>
        <w:pStyle w:val="Recommendation"/>
      </w:pPr>
      <w:r w:rsidRPr="00CF426B">
        <w:t>Recommendation 5.1: The Review recommends that GTTAC should include members whose primary expertise is in public health and in environmental risk assessment.</w:t>
      </w:r>
    </w:p>
    <w:p w14:paraId="16FF465B" w14:textId="008451D7" w:rsidR="005B2562" w:rsidRPr="005B2562" w:rsidRDefault="005B2562" w:rsidP="00CF426B">
      <w:pPr>
        <w:pStyle w:val="Heading3"/>
      </w:pPr>
      <w:r w:rsidRPr="005B2562">
        <w:t>GTEC and GTCCC</w:t>
      </w:r>
    </w:p>
    <w:p w14:paraId="5A3AE221" w14:textId="77777777" w:rsidR="005B2562" w:rsidRPr="00CF426B" w:rsidRDefault="005B2562" w:rsidP="00CF426B">
      <w:r w:rsidRPr="00CF426B">
        <w:t>Across all stakeholder groups, there was little understanding of the function and role</w:t>
      </w:r>
      <w:r w:rsidR="00BB40A4" w:rsidRPr="00CF426B">
        <w:t xml:space="preserve"> </w:t>
      </w:r>
      <w:r w:rsidRPr="00CF426B">
        <w:t>of GTEC and GTCCC (which both provide advice at the request of the Regulator and</w:t>
      </w:r>
      <w:r w:rsidR="00BB40A4" w:rsidRPr="00CF426B">
        <w:t xml:space="preserve"> </w:t>
      </w:r>
      <w:r w:rsidRPr="00CF426B">
        <w:t>the GTMC) and how the input of GTEC and GTCCC shapes the regulatory system.</w:t>
      </w:r>
    </w:p>
    <w:p w14:paraId="2001FA5C" w14:textId="77777777" w:rsidR="00BB40A4" w:rsidRPr="00CF426B" w:rsidRDefault="005B2562" w:rsidP="00CF426B">
      <w:r w:rsidRPr="00CF426B">
        <w:lastRenderedPageBreak/>
        <w:t>This was a key theme in the submissions and public consultations with concerns</w:t>
      </w:r>
      <w:r w:rsidR="00BB40A4" w:rsidRPr="00CF426B">
        <w:t xml:space="preserve"> </w:t>
      </w:r>
      <w:r w:rsidRPr="00CF426B">
        <w:t>centred on the GTCCC. It was criticised for the polarised views of its membership and</w:t>
      </w:r>
      <w:r w:rsidR="00BB40A4" w:rsidRPr="00CF426B">
        <w:t xml:space="preserve"> </w:t>
      </w:r>
      <w:r w:rsidRPr="00CF426B">
        <w:t>its lack of concrete progress. As noted above, the Review did not have an opportunity</w:t>
      </w:r>
      <w:r w:rsidR="00BB40A4" w:rsidRPr="00CF426B">
        <w:t xml:space="preserve"> </w:t>
      </w:r>
      <w:r w:rsidRPr="00CF426B">
        <w:t>to hear from GTCCC and was unable to assess these comments given the period since</w:t>
      </w:r>
      <w:r w:rsidR="00BB40A4" w:rsidRPr="00CF426B">
        <w:t xml:space="preserve"> </w:t>
      </w:r>
      <w:r w:rsidRPr="00CF426B">
        <w:t>the GTCCC last met.</w:t>
      </w:r>
    </w:p>
    <w:p w14:paraId="0288DA5F" w14:textId="084770D1" w:rsidR="00F35033" w:rsidRPr="00CF426B" w:rsidRDefault="00BB40A4" w:rsidP="00CF426B">
      <w:r w:rsidRPr="00BB40A4">
        <w:t>An example of how GTEC advice shapes the regulatory system is GTEC’s input to the</w:t>
      </w:r>
      <w:r>
        <w:t xml:space="preserve"> </w:t>
      </w:r>
      <w:r w:rsidRPr="00BB40A4">
        <w:t>recent review o</w:t>
      </w:r>
      <w:r>
        <w:t>f the RAF. The revised RAF refl</w:t>
      </w:r>
      <w:r w:rsidRPr="00BB40A4">
        <w:t>ects GTEC’s input — guidance on better</w:t>
      </w:r>
      <w:r>
        <w:t xml:space="preserve"> </w:t>
      </w:r>
      <w:r w:rsidRPr="00BB40A4">
        <w:t>risk communication and encouragement to provide a more transparent approach to</w:t>
      </w:r>
      <w:r>
        <w:t xml:space="preserve"> </w:t>
      </w:r>
      <w:r w:rsidRPr="00BB40A4">
        <w:t>explaining uncertainty in the risk estimates. GTEC has also developed draft ethical</w:t>
      </w:r>
      <w:r>
        <w:t xml:space="preserve"> </w:t>
      </w:r>
      <w:r w:rsidRPr="00BB40A4">
        <w:t>guidelines in relation to GMOs as well as developing working papers and making</w:t>
      </w:r>
      <w:r>
        <w:t xml:space="preserve"> </w:t>
      </w:r>
      <w:r w:rsidRPr="00BB40A4">
        <w:t>submissions as listed below.</w:t>
      </w:r>
    </w:p>
    <w:p w14:paraId="0F9E871A" w14:textId="77777777" w:rsidR="00CF426B" w:rsidRPr="00BB40A4" w:rsidRDefault="00CF426B" w:rsidP="00CF426B">
      <w:pPr>
        <w:shd w:val="clear" w:color="auto" w:fill="E7E6E6" w:themeFill="background2"/>
      </w:pPr>
      <w:r w:rsidRPr="00BB40A4">
        <w:t>GTEC has produced working papers on:</w:t>
      </w:r>
    </w:p>
    <w:p w14:paraId="4FB199A8" w14:textId="4E16BFE8" w:rsidR="00CF426B" w:rsidRPr="00BB40A4" w:rsidRDefault="00CF426B" w:rsidP="00CF426B">
      <w:pPr>
        <w:shd w:val="clear" w:color="auto" w:fill="E7E6E6" w:themeFill="background2"/>
      </w:pPr>
      <w:r>
        <w:t xml:space="preserve">- </w:t>
      </w:r>
      <w:r w:rsidRPr="00BB40A4">
        <w:t>The ethical aspects of risk including multiple facets of managing risk ethically</w:t>
      </w:r>
    </w:p>
    <w:p w14:paraId="6B60981F" w14:textId="70C36027" w:rsidR="00CF426B" w:rsidRPr="00BB40A4" w:rsidRDefault="00CF426B" w:rsidP="00CF426B">
      <w:pPr>
        <w:shd w:val="clear" w:color="auto" w:fill="E7E6E6" w:themeFill="background2"/>
        <w:rPr>
          <w:i/>
          <w:iCs/>
        </w:rPr>
      </w:pPr>
      <w:r>
        <w:t xml:space="preserve">- </w:t>
      </w:r>
      <w:r w:rsidRPr="00BB40A4">
        <w:t>Re</w:t>
      </w:r>
      <w:r>
        <w:t>lease of Information and Notifi</w:t>
      </w:r>
      <w:r w:rsidRPr="00BB40A4">
        <w:t xml:space="preserve">cation under the </w:t>
      </w:r>
      <w:r w:rsidRPr="00BB40A4">
        <w:rPr>
          <w:i/>
          <w:iCs/>
        </w:rPr>
        <w:t>Gene Technology Act 2000</w:t>
      </w:r>
    </w:p>
    <w:p w14:paraId="73B8D226" w14:textId="241EC820" w:rsidR="00CF426B" w:rsidRPr="00BB40A4" w:rsidRDefault="00CF426B" w:rsidP="00CF426B">
      <w:pPr>
        <w:shd w:val="clear" w:color="auto" w:fill="E7E6E6" w:themeFill="background2"/>
      </w:pPr>
      <w:r>
        <w:t xml:space="preserve">- </w:t>
      </w:r>
      <w:r w:rsidRPr="00BB40A4">
        <w:t>Ethical Issues Arising from the</w:t>
      </w:r>
      <w:r>
        <w:t xml:space="preserve"> Genetic Modifi</w:t>
      </w:r>
      <w:r w:rsidRPr="00BB40A4">
        <w:t>cation of Animals (including animal welfare considerations)</w:t>
      </w:r>
    </w:p>
    <w:p w14:paraId="1462E36F" w14:textId="5A8B5A6A" w:rsidR="00CF426B" w:rsidRPr="00BB40A4" w:rsidRDefault="00CF426B" w:rsidP="00CF426B">
      <w:pPr>
        <w:shd w:val="clear" w:color="auto" w:fill="E7E6E6" w:themeFill="background2"/>
      </w:pPr>
      <w:r>
        <w:t xml:space="preserve">- </w:t>
      </w:r>
      <w:r w:rsidRPr="00BB40A4">
        <w:t xml:space="preserve">Ethical Issues Associated with </w:t>
      </w:r>
      <w:proofErr w:type="spellStart"/>
      <w:r w:rsidRPr="00BB40A4">
        <w:t>Transkingdom</w:t>
      </w:r>
      <w:proofErr w:type="spellEnd"/>
      <w:r w:rsidRPr="00BB40A4">
        <w:t xml:space="preserve"> Gene Transfer ‘GMOs, Lay Understandings and civic ethics’</w:t>
      </w:r>
    </w:p>
    <w:p w14:paraId="30BBD4E5" w14:textId="575C7D5B" w:rsidR="00CF426B" w:rsidRDefault="00CF426B" w:rsidP="00CF426B">
      <w:pPr>
        <w:shd w:val="clear" w:color="auto" w:fill="E7E6E6" w:themeFill="background2"/>
      </w:pPr>
      <w:r>
        <w:t xml:space="preserve">- </w:t>
      </w:r>
      <w:r w:rsidRPr="00BB40A4">
        <w:t>‘A history of ideas about environmental precaution’</w:t>
      </w:r>
    </w:p>
    <w:p w14:paraId="30E3182E" w14:textId="77777777" w:rsidR="00CF426B" w:rsidRPr="00BB40A4" w:rsidRDefault="00CF426B" w:rsidP="00CF426B">
      <w:pPr>
        <w:shd w:val="clear" w:color="auto" w:fill="E7E6E6" w:themeFill="background2"/>
      </w:pPr>
      <w:r w:rsidRPr="00BB40A4">
        <w:t>GTEC also made submissions in response to the:</w:t>
      </w:r>
    </w:p>
    <w:p w14:paraId="13235F07" w14:textId="07B57C5B" w:rsidR="00CF426B" w:rsidRPr="00BB40A4" w:rsidRDefault="00CF426B" w:rsidP="00CF426B">
      <w:pPr>
        <w:shd w:val="clear" w:color="auto" w:fill="E7E6E6" w:themeFill="background2"/>
      </w:pPr>
      <w:r>
        <w:t xml:space="preserve">- </w:t>
      </w:r>
      <w:r w:rsidRPr="00BB40A4">
        <w:t>National Health and Medical Research Council’s (NHMRC) release of Draft Guidelines and Discussion Paper on Xenotransplantation</w:t>
      </w:r>
    </w:p>
    <w:p w14:paraId="4F013981" w14:textId="6B80C7EE" w:rsidR="00CF426B" w:rsidRPr="00BB40A4" w:rsidRDefault="00CF426B" w:rsidP="00CF426B">
      <w:pPr>
        <w:shd w:val="clear" w:color="auto" w:fill="E7E6E6" w:themeFill="background2"/>
      </w:pPr>
      <w:r>
        <w:t xml:space="preserve">- </w:t>
      </w:r>
      <w:r w:rsidRPr="00BB40A4">
        <w:t>Draft Australian Code of Practice for the Care and Use of Animals for Scientif</w:t>
      </w:r>
      <w:r>
        <w:t>i</w:t>
      </w:r>
      <w:r w:rsidRPr="00BB40A4">
        <w:t xml:space="preserve">c </w:t>
      </w:r>
      <w:proofErr w:type="gramStart"/>
      <w:r w:rsidRPr="00BB40A4">
        <w:t>Purposes(</w:t>
      </w:r>
      <w:proofErr w:type="gramEnd"/>
      <w:r w:rsidRPr="00BB40A4">
        <w:t>7th Edition)</w:t>
      </w:r>
    </w:p>
    <w:p w14:paraId="7D07D8E9" w14:textId="25CD1279" w:rsidR="00CF426B" w:rsidRPr="00BB40A4" w:rsidRDefault="00CF426B" w:rsidP="00CF426B">
      <w:pPr>
        <w:shd w:val="clear" w:color="auto" w:fill="E7E6E6" w:themeFill="background2"/>
      </w:pPr>
      <w:r>
        <w:t xml:space="preserve">- </w:t>
      </w:r>
      <w:r w:rsidRPr="00BB40A4">
        <w:t>Australian Health Ethics Committee (AHEC) paper Animal-to-human transplantation research: How should Australia Proceed?</w:t>
      </w:r>
    </w:p>
    <w:p w14:paraId="311954B0" w14:textId="0FFBE04B" w:rsidR="00CF426B" w:rsidRPr="00BB40A4" w:rsidRDefault="00CF426B" w:rsidP="00CF426B">
      <w:pPr>
        <w:shd w:val="clear" w:color="auto" w:fill="E7E6E6" w:themeFill="background2"/>
      </w:pPr>
      <w:r>
        <w:t xml:space="preserve">- </w:t>
      </w:r>
      <w:r w:rsidRPr="00BB40A4">
        <w:t>NHMRC Draft Australian Code for Conducting Research — 2004</w:t>
      </w:r>
    </w:p>
    <w:p w14:paraId="33D2A919" w14:textId="24C5568A" w:rsidR="00CF426B" w:rsidRPr="00BB40A4" w:rsidRDefault="00CF426B" w:rsidP="00CF426B">
      <w:pPr>
        <w:shd w:val="clear" w:color="auto" w:fill="E7E6E6" w:themeFill="background2"/>
      </w:pPr>
      <w:r>
        <w:t xml:space="preserve">- </w:t>
      </w:r>
      <w:r w:rsidRPr="00BB40A4">
        <w:t>NHMRC National Statement on Ethical Conduct in Research Involving Humans</w:t>
      </w:r>
    </w:p>
    <w:p w14:paraId="33ADF0A9" w14:textId="28B66031" w:rsidR="00CF426B" w:rsidRPr="00BB40A4" w:rsidRDefault="00CF426B" w:rsidP="00CF426B">
      <w:pPr>
        <w:shd w:val="clear" w:color="auto" w:fill="E7E6E6" w:themeFill="background2"/>
      </w:pPr>
      <w:r>
        <w:t xml:space="preserve">- </w:t>
      </w:r>
      <w:r w:rsidRPr="00BB40A4">
        <w:t>Victorian Biotechnology Ethics Advisory Committee ‘Statement of ethical principles for biotechnology’</w:t>
      </w:r>
    </w:p>
    <w:p w14:paraId="6D8ADC90" w14:textId="77777777" w:rsidR="00BB40A4" w:rsidRDefault="00BB40A4" w:rsidP="00CF426B">
      <w:r w:rsidRPr="00BB40A4">
        <w:t>The Review heard that there was considerable overlap between the roles and functions</w:t>
      </w:r>
      <w:r>
        <w:t xml:space="preserve"> </w:t>
      </w:r>
      <w:r w:rsidRPr="00BB40A4">
        <w:t xml:space="preserve">of GTEC and GTCCC and that this could be </w:t>
      </w:r>
      <w:proofErr w:type="gramStart"/>
      <w:r w:rsidRPr="00BB40A4">
        <w:t>overcome</w:t>
      </w:r>
      <w:proofErr w:type="gramEnd"/>
      <w:r w:rsidRPr="00BB40A4">
        <w:t xml:space="preserve"> and efficiency enhanced if</w:t>
      </w:r>
      <w:r>
        <w:t xml:space="preserve"> </w:t>
      </w:r>
      <w:r w:rsidRPr="00BB40A4">
        <w:t>a single committee advised on ethical and social issues as is typically the case both</w:t>
      </w:r>
      <w:r>
        <w:t xml:space="preserve"> </w:t>
      </w:r>
      <w:r w:rsidRPr="00BB40A4">
        <w:t>within Australia and internationally. For example, AHEC, the Victorian Biotechnology</w:t>
      </w:r>
      <w:r>
        <w:t xml:space="preserve"> Ethics Advisory </w:t>
      </w:r>
      <w:r w:rsidRPr="00BB40A4">
        <w:t>Committee and the New Zealand Bioethics Council all advise on</w:t>
      </w:r>
      <w:r>
        <w:t xml:space="preserve"> </w:t>
      </w:r>
      <w:r w:rsidRPr="00BB40A4">
        <w:t>ethical and social issues.</w:t>
      </w:r>
    </w:p>
    <w:p w14:paraId="43D3116C" w14:textId="77777777" w:rsidR="00BB40A4" w:rsidRDefault="00BB40A4" w:rsidP="00CF426B">
      <w:r w:rsidRPr="00BB40A4">
        <w:t xml:space="preserve">During consultations, </w:t>
      </w:r>
      <w:r w:rsidRPr="00CF426B">
        <w:t>members</w:t>
      </w:r>
      <w:r w:rsidRPr="00BB40A4">
        <w:t xml:space="preserve"> of GTEC expressed strong support for combining the</w:t>
      </w:r>
      <w:r>
        <w:t xml:space="preserve"> </w:t>
      </w:r>
      <w:r w:rsidRPr="00BB40A4">
        <w:t>two committees into one.</w:t>
      </w:r>
      <w:r>
        <w:t xml:space="preserve"> </w:t>
      </w:r>
    </w:p>
    <w:p w14:paraId="08E96C0D" w14:textId="77777777" w:rsidR="00BB40A4" w:rsidRPr="00EB6DA2" w:rsidRDefault="00BB40A4" w:rsidP="00CF426B">
      <w:pPr>
        <w:pStyle w:val="Recommendation"/>
      </w:pPr>
      <w:r w:rsidRPr="00EB6DA2">
        <w:t xml:space="preserve">Recommendation 5.2: The </w:t>
      </w:r>
      <w:r w:rsidRPr="00CF426B">
        <w:t>Review</w:t>
      </w:r>
      <w:r w:rsidRPr="00EB6DA2">
        <w:t xml:space="preserve"> recommends that GTEC and GTCCC</w:t>
      </w:r>
      <w:r w:rsidR="00EB6DA2" w:rsidRPr="00EB6DA2">
        <w:t xml:space="preserve"> </w:t>
      </w:r>
      <w:r w:rsidRPr="00EB6DA2">
        <w:t>be combined into one advisory committee, with the combined functions</w:t>
      </w:r>
      <w:r w:rsidR="00EB6DA2" w:rsidRPr="00EB6DA2">
        <w:t xml:space="preserve"> </w:t>
      </w:r>
      <w:r w:rsidRPr="00EB6DA2">
        <w:t>of the two committees.</w:t>
      </w:r>
    </w:p>
    <w:p w14:paraId="071A6D07" w14:textId="77950B6B" w:rsidR="00BB40A4" w:rsidRPr="00CF426B" w:rsidRDefault="00BB40A4" w:rsidP="00CF426B">
      <w:r w:rsidRPr="00CF426B">
        <w:lastRenderedPageBreak/>
        <w:t>NGOs, consumer groups and farming groups opposed to the introduction of GMOs</w:t>
      </w:r>
      <w:r w:rsidR="00EB6DA2" w:rsidRPr="00CF426B">
        <w:t xml:space="preserve"> </w:t>
      </w:r>
      <w:r w:rsidRPr="00CF426B">
        <w:t>argued that the Regulator should consult equally with all three committees, including</w:t>
      </w:r>
      <w:r w:rsidR="00EB6DA2" w:rsidRPr="00CF426B">
        <w:t xml:space="preserve"> </w:t>
      </w:r>
      <w:r w:rsidRPr="00CF426B">
        <w:t>on licence applications, and give each committee’s advice equal weighting. In</w:t>
      </w:r>
      <w:r w:rsidR="00EB6DA2" w:rsidRPr="00CF426B">
        <w:t xml:space="preserve"> </w:t>
      </w:r>
      <w:r w:rsidRPr="00CF426B">
        <w:t>contrast, industry and research groups strongly supported the current arrangement</w:t>
      </w:r>
      <w:r w:rsidR="00EB6DA2" w:rsidRPr="00CF426B">
        <w:t xml:space="preserve"> </w:t>
      </w:r>
      <w:r w:rsidRPr="00CF426B">
        <w:t>with GTTAC giving advice on applications and GTEC and GTCCC giving advice of a</w:t>
      </w:r>
      <w:r w:rsidR="00EB6DA2" w:rsidRPr="00CF426B">
        <w:t xml:space="preserve"> </w:t>
      </w:r>
      <w:r w:rsidRPr="00CF426B">
        <w:t>more general nature.</w:t>
      </w:r>
    </w:p>
    <w:p w14:paraId="1BD55054" w14:textId="2BE3FCFC" w:rsidR="00BB40A4" w:rsidRPr="00CF426B" w:rsidRDefault="00BB40A4" w:rsidP="00CF426B">
      <w:r w:rsidRPr="00CF426B">
        <w:t>Risk communication and community consultation for commercial release licence</w:t>
      </w:r>
      <w:r w:rsidR="00EB6DA2" w:rsidRPr="00CF426B">
        <w:t xml:space="preserve"> </w:t>
      </w:r>
      <w:r w:rsidRPr="00CF426B">
        <w:t>applications were highlighted as important issues during consultations. The Review</w:t>
      </w:r>
      <w:r w:rsidR="00EB6DA2" w:rsidRPr="00CF426B">
        <w:t xml:space="preserve"> </w:t>
      </w:r>
      <w:r w:rsidRPr="00CF426B">
        <w:t>was told that commercial release licence applications have to date generated the most</w:t>
      </w:r>
      <w:r w:rsidR="00EB6DA2" w:rsidRPr="00CF426B">
        <w:t xml:space="preserve"> </w:t>
      </w:r>
      <w:r w:rsidRPr="00CF426B">
        <w:t xml:space="preserve">public </w:t>
      </w:r>
      <w:r w:rsidR="00EB6DA2" w:rsidRPr="00CF426B">
        <w:t>i</w:t>
      </w:r>
      <w:r w:rsidRPr="00CF426B">
        <w:t>nterest and concern.</w:t>
      </w:r>
    </w:p>
    <w:p w14:paraId="6177757D" w14:textId="646D25CA" w:rsidR="00BB40A4" w:rsidRPr="00CF426B" w:rsidRDefault="00BB40A4" w:rsidP="00CF426B">
      <w:r w:rsidRPr="00CF426B">
        <w:t>The Review concluded that the functions of the new single statutory committee</w:t>
      </w:r>
      <w:r w:rsidR="00EB6DA2" w:rsidRPr="00CF426B">
        <w:t xml:space="preserve"> </w:t>
      </w:r>
      <w:r w:rsidRPr="00CF426B">
        <w:t>should include providing advice within the confines of the Act, on the request of the</w:t>
      </w:r>
      <w:r w:rsidR="00EB6DA2" w:rsidRPr="00CF426B">
        <w:t xml:space="preserve"> </w:t>
      </w:r>
      <w:r w:rsidRPr="00CF426B">
        <w:t>Regulator or the GTMC, on community consultation and risk communication matters</w:t>
      </w:r>
      <w:r w:rsidR="00EB6DA2" w:rsidRPr="00CF426B">
        <w:t xml:space="preserve"> </w:t>
      </w:r>
      <w:r w:rsidRPr="00CF426B">
        <w:t>for the DIR</w:t>
      </w:r>
      <w:r w:rsidR="00EB6DA2" w:rsidRPr="00CF426B">
        <w:t xml:space="preserve"> </w:t>
      </w:r>
      <w:r w:rsidRPr="00CF426B">
        <w:t>commercial licence application process.</w:t>
      </w:r>
    </w:p>
    <w:p w14:paraId="3EE3277C" w14:textId="77777777" w:rsidR="00BB40A4" w:rsidRPr="00CF426B" w:rsidRDefault="00BB40A4" w:rsidP="00CF426B">
      <w:pPr>
        <w:pStyle w:val="Recommendation"/>
      </w:pPr>
      <w:r w:rsidRPr="00CF426B">
        <w:t>Recommendation 5.3: The Review recommends that a function of the</w:t>
      </w:r>
      <w:r w:rsidR="00EB6DA2" w:rsidRPr="00CF426B">
        <w:t xml:space="preserve"> </w:t>
      </w:r>
      <w:r w:rsidRPr="00CF426B">
        <w:t>new single statutory committee include providing advice within the</w:t>
      </w:r>
      <w:r w:rsidR="00EB6DA2" w:rsidRPr="00CF426B">
        <w:t xml:space="preserve"> </w:t>
      </w:r>
      <w:r w:rsidRPr="00CF426B">
        <w:t>confines of the Act, on the request of the Regulator or the GTMC, on</w:t>
      </w:r>
      <w:r w:rsidR="00EB6DA2" w:rsidRPr="00CF426B">
        <w:t xml:space="preserve"> </w:t>
      </w:r>
      <w:r w:rsidRPr="00CF426B">
        <w:t>community consultation and risk communication matters for the DIR</w:t>
      </w:r>
      <w:r w:rsidR="00EB6DA2" w:rsidRPr="00CF426B">
        <w:t xml:space="preserve"> </w:t>
      </w:r>
      <w:r w:rsidRPr="00CF426B">
        <w:t>commercial licence application process.</w:t>
      </w:r>
    </w:p>
    <w:p w14:paraId="4A9167FA" w14:textId="77777777" w:rsidR="00BB40A4" w:rsidRPr="00CF426B" w:rsidRDefault="00BB40A4" w:rsidP="00CF426B">
      <w:pPr>
        <w:pStyle w:val="Heading2"/>
      </w:pPr>
      <w:bookmarkStart w:id="54" w:name="_Toc95326288"/>
      <w:r w:rsidRPr="00CF426B">
        <w:t>Stakeholders consulted on applications</w:t>
      </w:r>
      <w:bookmarkEnd w:id="54"/>
    </w:p>
    <w:p w14:paraId="322EB7D1" w14:textId="77777777" w:rsidR="00BB40A4" w:rsidRPr="00CF426B" w:rsidRDefault="00BB40A4" w:rsidP="00CF426B">
      <w:r w:rsidRPr="00CF426B">
        <w:t>Beyond the operation of the statutory committees, stakeholders expressed some</w:t>
      </w:r>
      <w:r w:rsidR="00EB6DA2" w:rsidRPr="00CF426B">
        <w:t xml:space="preserve"> </w:t>
      </w:r>
      <w:r w:rsidRPr="00CF426B">
        <w:t>concern about the appropriateness of some of the consultations, particularly related</w:t>
      </w:r>
      <w:r w:rsidR="00EB6DA2" w:rsidRPr="00CF426B">
        <w:t xml:space="preserve"> </w:t>
      </w:r>
      <w:r w:rsidRPr="00CF426B">
        <w:t>to prescribed agencies and local government.</w:t>
      </w:r>
    </w:p>
    <w:p w14:paraId="75F8D805" w14:textId="77777777" w:rsidR="00EB6DA2" w:rsidRPr="00CF426B" w:rsidRDefault="00BB40A4" w:rsidP="00CF426B">
      <w:r w:rsidRPr="00CF426B">
        <w:t>The prescribed agencies that have statutory responsibilities relevant to the regulation</w:t>
      </w:r>
      <w:r w:rsidR="00EB6DA2" w:rsidRPr="00CF426B">
        <w:t xml:space="preserve"> </w:t>
      </w:r>
      <w:r w:rsidRPr="00CF426B">
        <w:t>of GMOs are listed below. It is important to note that along with the Regulator,</w:t>
      </w:r>
      <w:r w:rsidR="00EB6DA2" w:rsidRPr="00CF426B">
        <w:t xml:space="preserve"> </w:t>
      </w:r>
      <w:r w:rsidRPr="00CF426B">
        <w:t>these agencies are responsible for protecting public health and safety and/or the</w:t>
      </w:r>
      <w:r w:rsidR="00EB6DA2" w:rsidRPr="00CF426B">
        <w:t xml:space="preserve"> </w:t>
      </w:r>
      <w:r w:rsidRPr="00CF426B">
        <w:t>environment in relation to GMOs and GM products.</w:t>
      </w:r>
    </w:p>
    <w:p w14:paraId="5F0363BD" w14:textId="77777777" w:rsidR="00CF426B" w:rsidRPr="00CF426B" w:rsidRDefault="00CF426B" w:rsidP="00CF426B">
      <w:pPr>
        <w:shd w:val="clear" w:color="auto" w:fill="E7E6E6" w:themeFill="background2"/>
      </w:pPr>
      <w:r w:rsidRPr="00CF426B">
        <w:t>The prescribed agencies with responsibilities for regulating GMOs and GM products</w:t>
      </w:r>
    </w:p>
    <w:p w14:paraId="201636E8" w14:textId="604107C2" w:rsidR="00CF426B" w:rsidRPr="00CF426B" w:rsidRDefault="00CF426B" w:rsidP="00CF426B">
      <w:pPr>
        <w:shd w:val="clear" w:color="auto" w:fill="E7E6E6" w:themeFill="background2"/>
      </w:pPr>
      <w:r>
        <w:t xml:space="preserve">- </w:t>
      </w:r>
      <w:r w:rsidRPr="00CF426B">
        <w:t xml:space="preserve">the Australian Pesticides and Veterinary Medicines Authority (APVMA) regulates pesticides and veterinary medicines, including evaluation of product efficacy issues and trade from a residue </w:t>
      </w:r>
      <w:proofErr w:type="gramStart"/>
      <w:r w:rsidRPr="00CF426B">
        <w:t>perspective;</w:t>
      </w:r>
      <w:proofErr w:type="gramEnd"/>
    </w:p>
    <w:p w14:paraId="0F4535AE" w14:textId="01C022A7" w:rsidR="00CF426B" w:rsidRPr="00CF426B" w:rsidRDefault="00CF426B" w:rsidP="00CF426B">
      <w:pPr>
        <w:shd w:val="clear" w:color="auto" w:fill="E7E6E6" w:themeFill="background2"/>
      </w:pPr>
      <w:r>
        <w:t xml:space="preserve">- </w:t>
      </w:r>
      <w:r w:rsidRPr="00CF426B">
        <w:t xml:space="preserve">Food Standards Australia New Zealand (FSANZ) is responsible for setting food standards, including mandatory pre-market safety assessments of GMOs and GM products in human </w:t>
      </w:r>
      <w:proofErr w:type="gramStart"/>
      <w:r w:rsidRPr="00CF426B">
        <w:t>food;</w:t>
      </w:r>
      <w:proofErr w:type="gramEnd"/>
    </w:p>
    <w:p w14:paraId="6D290E0E" w14:textId="46F1E435" w:rsidR="00CF426B" w:rsidRPr="00CF426B" w:rsidRDefault="00CF426B" w:rsidP="00CF426B">
      <w:pPr>
        <w:shd w:val="clear" w:color="auto" w:fill="E7E6E6" w:themeFill="background2"/>
      </w:pPr>
      <w:r>
        <w:t xml:space="preserve">- </w:t>
      </w:r>
      <w:r w:rsidRPr="00CF426B">
        <w:t xml:space="preserve">Therapeutic Goods Administration (TGA) regulates the quality, safety and efficacy of therapeutic products, including human medicines containing GMOs or GM </w:t>
      </w:r>
      <w:proofErr w:type="gramStart"/>
      <w:r w:rsidRPr="00CF426B">
        <w:t>products;</w:t>
      </w:r>
      <w:proofErr w:type="gramEnd"/>
    </w:p>
    <w:p w14:paraId="5B0D119E" w14:textId="6E7D644D" w:rsidR="00CF426B" w:rsidRPr="00CF426B" w:rsidRDefault="00CF426B" w:rsidP="00CF426B">
      <w:pPr>
        <w:shd w:val="clear" w:color="auto" w:fill="E7E6E6" w:themeFill="background2"/>
      </w:pPr>
      <w:r>
        <w:t xml:space="preserve">- </w:t>
      </w:r>
      <w:r w:rsidRPr="00CF426B">
        <w:t>National Industrial Chemicals Notification and Assessment Scheme (NICNAS) covers the evaluation of industrial chemicals, including GMOs and GM products; and</w:t>
      </w:r>
    </w:p>
    <w:p w14:paraId="1F69AED8" w14:textId="147D75DC" w:rsidR="00CF426B" w:rsidRPr="00CF426B" w:rsidRDefault="00CF426B" w:rsidP="00CF426B">
      <w:pPr>
        <w:shd w:val="clear" w:color="auto" w:fill="E7E6E6" w:themeFill="background2"/>
      </w:pPr>
      <w:r>
        <w:t xml:space="preserve">- </w:t>
      </w:r>
      <w:r w:rsidRPr="00CF426B">
        <w:t>Australian Quarantine and Inspection Service (AQIS) / Biosecurity Australia covers imported goods and quarantine including the importation of GMOs and GM products.</w:t>
      </w:r>
    </w:p>
    <w:p w14:paraId="4094F66E" w14:textId="77777777" w:rsidR="00703FD2" w:rsidRDefault="00703FD2" w:rsidP="00CF426B">
      <w:r w:rsidRPr="00703FD2">
        <w:t>While the NHMRC has no responsibility for regulating GMOs and GM products, it is</w:t>
      </w:r>
      <w:r>
        <w:t xml:space="preserve"> </w:t>
      </w:r>
      <w:r w:rsidRPr="00703FD2">
        <w:t>presently included as a prescribed agency. The Review heard that the history to the</w:t>
      </w:r>
      <w:r>
        <w:t xml:space="preserve"> </w:t>
      </w:r>
      <w:r w:rsidRPr="00703FD2">
        <w:t>inclusion of the NHMRC as a prescribed agency related to the cross representation</w:t>
      </w:r>
      <w:r>
        <w:t xml:space="preserve"> </w:t>
      </w:r>
      <w:r w:rsidRPr="00703FD2">
        <w:t xml:space="preserve">between </w:t>
      </w:r>
      <w:r w:rsidRPr="00703FD2">
        <w:lastRenderedPageBreak/>
        <w:t>the previous voluntary system (GMAC) and the NHMRC Gene and Related</w:t>
      </w:r>
      <w:r>
        <w:t xml:space="preserve"> </w:t>
      </w:r>
      <w:r w:rsidRPr="00703FD2">
        <w:t>Therapies Advisory Panel (GTRAP).</w:t>
      </w:r>
    </w:p>
    <w:p w14:paraId="08E7A6EE" w14:textId="5CA6B490" w:rsidR="00703FD2" w:rsidRPr="00CF426B" w:rsidRDefault="00703FD2" w:rsidP="00CF426B">
      <w:r w:rsidRPr="00CF426B">
        <w:t xml:space="preserve">In its submission to the Review, the NHMRC pointed out that it was not a regulatory agency like the other prescribed </w:t>
      </w:r>
      <w:proofErr w:type="gramStart"/>
      <w:r w:rsidRPr="00CF426B">
        <w:t>agencies, and</w:t>
      </w:r>
      <w:proofErr w:type="gramEnd"/>
      <w:r w:rsidRPr="00CF426B">
        <w:t xml:space="preserve"> noted that this situation has led it to debate what role it should take in relation to the matters referred to it by the Regulator. NHMRC expressed the view that it was best suited to providing specialist advice at the request of the Regulator, for example, where a new GMO first comes before the Regulator rather than being consulted on individual licence applications.</w:t>
      </w:r>
    </w:p>
    <w:p w14:paraId="39FBBF32" w14:textId="0269E1F7" w:rsidR="00703FD2" w:rsidRPr="00CF426B" w:rsidRDefault="00703FD2" w:rsidP="00CF426B">
      <w:r w:rsidRPr="00CF426B">
        <w:t>The Review considered whether changing the role of the NHMRC would adversely impact on the regulatory system. In consulting with the Regulator, the Review heard that, from a public health perspective, this would not be the case, as other prescribed agencies cover this area.</w:t>
      </w:r>
    </w:p>
    <w:p w14:paraId="09E2A6A0" w14:textId="77777777" w:rsidR="00703FD2" w:rsidRPr="00CF426B" w:rsidRDefault="00703FD2" w:rsidP="00CF426B">
      <w:r w:rsidRPr="00CF426B">
        <w:t>The Review concluded that the NHMRC could be removed from the list of prescribed agencies as this would not result in a gap in the assessment of public health.</w:t>
      </w:r>
    </w:p>
    <w:p w14:paraId="5CD79B66" w14:textId="77777777" w:rsidR="00703FD2" w:rsidRPr="00CF426B" w:rsidRDefault="00703FD2" w:rsidP="00CF426B">
      <w:r w:rsidRPr="00CF426B">
        <w:t>Removing the NHMRC from the list would not preclude the Regulator seeking advice from the NHMRC when it is considered necessary and appropriate.</w:t>
      </w:r>
    </w:p>
    <w:p w14:paraId="59678D25" w14:textId="77777777" w:rsidR="00703FD2" w:rsidRPr="00CF426B" w:rsidRDefault="00703FD2" w:rsidP="00CF426B">
      <w:pPr>
        <w:pStyle w:val="Recommendation"/>
      </w:pPr>
      <w:r w:rsidRPr="00CF426B">
        <w:t xml:space="preserve">Recommendation 5.4: The Review recommends that, </w:t>
      </w:r>
      <w:proofErr w:type="gramStart"/>
      <w:r w:rsidRPr="00CF426B">
        <w:t>in light of</w:t>
      </w:r>
      <w:proofErr w:type="gramEnd"/>
      <w:r w:rsidRPr="00CF426B">
        <w:t xml:space="preserve"> the NHMRC’s practical experience as a prescribed agency, its role be changed from a prescribed agency to one where the Regulator can seek its advice as appropriate.</w:t>
      </w:r>
    </w:p>
    <w:p w14:paraId="0860F156" w14:textId="330E788E" w:rsidR="00703FD2" w:rsidRPr="00CF426B" w:rsidRDefault="00703FD2" w:rsidP="00A76306">
      <w:pPr>
        <w:pStyle w:val="Heading3"/>
      </w:pPr>
      <w:r w:rsidRPr="00CF426B">
        <w:t>Consultation with local government</w:t>
      </w:r>
    </w:p>
    <w:p w14:paraId="0A17187B" w14:textId="4D339F6D" w:rsidR="00703FD2" w:rsidRPr="00CF426B" w:rsidRDefault="00703FD2" w:rsidP="00CF426B">
      <w:r w:rsidRPr="00703FD2">
        <w:t>With reference to local government, the Review heard concerns about its ability</w:t>
      </w:r>
      <w:r>
        <w:t xml:space="preserve"> </w:t>
      </w:r>
      <w:r w:rsidRPr="00703FD2">
        <w:t>and capacity to participate meaningfully in consultation processes. While</w:t>
      </w:r>
      <w:r>
        <w:t xml:space="preserve"> </w:t>
      </w:r>
      <w:r w:rsidRPr="00703FD2">
        <w:t xml:space="preserve">local governments differ in </w:t>
      </w:r>
      <w:r>
        <w:t>size and resources, and signifi</w:t>
      </w:r>
      <w:r w:rsidRPr="00703FD2">
        <w:t>cantly in their level</w:t>
      </w:r>
      <w:r>
        <w:t xml:space="preserve"> </w:t>
      </w:r>
      <w:r w:rsidRPr="00703FD2">
        <w:t>of engagement with GM issues, the Review noted that they are the elected</w:t>
      </w:r>
      <w:r>
        <w:t xml:space="preserve"> </w:t>
      </w:r>
      <w:r w:rsidRPr="00703FD2">
        <w:t>representatives of communities and concluded that it is highly appropriate that they</w:t>
      </w:r>
      <w:r>
        <w:t xml:space="preserve"> </w:t>
      </w:r>
      <w:r w:rsidRPr="00703FD2">
        <w:t>be consulted as part of the Regulator’s decision-</w:t>
      </w:r>
      <w:r>
        <w:t>m</w:t>
      </w:r>
      <w:r w:rsidRPr="00703FD2">
        <w:t>aking process.</w:t>
      </w:r>
    </w:p>
    <w:p w14:paraId="3312EEEA" w14:textId="77777777" w:rsidR="00703FD2" w:rsidRDefault="00703FD2" w:rsidP="00A76306">
      <w:pPr>
        <w:pStyle w:val="Heading3"/>
      </w:pPr>
      <w:r w:rsidRPr="000C2051">
        <w:t>Consultation on applications that present a significant risk</w:t>
      </w:r>
    </w:p>
    <w:p w14:paraId="786464BD" w14:textId="26AA8CB2" w:rsidR="00703FD2" w:rsidRPr="00CF426B" w:rsidRDefault="00703FD2" w:rsidP="00CF426B">
      <w:r w:rsidRPr="00CF426B">
        <w:t>The Regulator’s submission recommended amending section 49 of the Act, which</w:t>
      </w:r>
      <w:r w:rsidR="000C2051" w:rsidRPr="00CF426B">
        <w:t xml:space="preserve"> </w:t>
      </w:r>
      <w:r w:rsidRPr="00CF426B">
        <w:t>requires the Regulator to assess whether a pr</w:t>
      </w:r>
      <w:r w:rsidR="000C2051" w:rsidRPr="00CF426B">
        <w:t>oposed dealing may pose signifi</w:t>
      </w:r>
      <w:r w:rsidRPr="00CF426B">
        <w:t>cant</w:t>
      </w:r>
      <w:r w:rsidR="000C2051" w:rsidRPr="00CF426B">
        <w:t xml:space="preserve"> </w:t>
      </w:r>
      <w:r w:rsidRPr="00CF426B">
        <w:t>risks to the health and safety of people and the environment prior to preparing the</w:t>
      </w:r>
      <w:r w:rsidR="000C2051" w:rsidRPr="00CF426B">
        <w:t xml:space="preserve"> </w:t>
      </w:r>
      <w:r w:rsidRPr="00CF426B">
        <w:t>RARMP. If the Regulator decides that the dealing may pose a significant risk, then the</w:t>
      </w:r>
      <w:r w:rsidR="000C2051" w:rsidRPr="00CF426B">
        <w:t xml:space="preserve"> </w:t>
      </w:r>
      <w:r w:rsidRPr="00CF426B">
        <w:t>Act requires the Regulator to consult with the public on the application as well as the</w:t>
      </w:r>
      <w:r w:rsidR="000C2051" w:rsidRPr="00CF426B">
        <w:t xml:space="preserve"> </w:t>
      </w:r>
      <w:r w:rsidRPr="00CF426B">
        <w:t>RARMP which she prepares.</w:t>
      </w:r>
    </w:p>
    <w:p w14:paraId="3E79AFC8" w14:textId="77777777" w:rsidR="000C2051" w:rsidRPr="00CF426B" w:rsidRDefault="00703FD2" w:rsidP="00CF426B">
      <w:r w:rsidRPr="00CF426B">
        <w:t>The Review concluded that the requirement to make a judgment on the risk of a</w:t>
      </w:r>
      <w:r w:rsidR="000C2051" w:rsidRPr="00CF426B">
        <w:t xml:space="preserve"> </w:t>
      </w:r>
      <w:r w:rsidRPr="00CF426B">
        <w:t>GMO prior to the development of the comprehensive RARMP is problematic. It would</w:t>
      </w:r>
      <w:r w:rsidR="000C2051" w:rsidRPr="00CF426B">
        <w:t xml:space="preserve"> </w:t>
      </w:r>
      <w:r w:rsidRPr="00CF426B">
        <w:t>be more</w:t>
      </w:r>
      <w:r w:rsidR="000C2051" w:rsidRPr="00CF426B">
        <w:t xml:space="preserve"> </w:t>
      </w:r>
      <w:r w:rsidRPr="00CF426B">
        <w:t xml:space="preserve">appropriate </w:t>
      </w:r>
      <w:r w:rsidR="000C2051" w:rsidRPr="00CF426B">
        <w:t>to include identification of any signifi</w:t>
      </w:r>
      <w:r w:rsidRPr="00CF426B">
        <w:t>cant risks to health and</w:t>
      </w:r>
      <w:r w:rsidR="000C2051" w:rsidRPr="00CF426B">
        <w:t xml:space="preserve"> </w:t>
      </w:r>
      <w:r w:rsidRPr="00CF426B">
        <w:t>safety of people and the environment in the relevant RARMP, after the Regulator has</w:t>
      </w:r>
      <w:r w:rsidR="000C2051" w:rsidRPr="00CF426B">
        <w:t xml:space="preserve"> </w:t>
      </w:r>
      <w:r w:rsidRPr="00CF426B">
        <w:t>had the opportunity to undertake a detailed assessment of the potential risks. The</w:t>
      </w:r>
      <w:r w:rsidR="000C2051" w:rsidRPr="00CF426B">
        <w:t xml:space="preserve"> </w:t>
      </w:r>
      <w:r w:rsidRPr="00CF426B">
        <w:t>second round of public</w:t>
      </w:r>
      <w:r w:rsidR="000C2051" w:rsidRPr="00CF426B">
        <w:t xml:space="preserve"> </w:t>
      </w:r>
      <w:r w:rsidRPr="00CF426B">
        <w:t>consultation should then take place after the Regulator has</w:t>
      </w:r>
      <w:r w:rsidR="000C2051" w:rsidRPr="00CF426B">
        <w:t xml:space="preserve"> </w:t>
      </w:r>
      <w:r w:rsidRPr="00CF426B">
        <w:t>reviewed the RARMP following the initial round of consultation under section 52.</w:t>
      </w:r>
    </w:p>
    <w:p w14:paraId="462DB220" w14:textId="1AD07B58" w:rsidR="00703FD2" w:rsidRPr="00CF426B" w:rsidRDefault="00703FD2" w:rsidP="00CF426B">
      <w:r w:rsidRPr="00CF426B">
        <w:t>T</w:t>
      </w:r>
      <w:r w:rsidR="000C2051" w:rsidRPr="00CF426B">
        <w:t>h</w:t>
      </w:r>
      <w:r w:rsidRPr="00CF426B">
        <w:t>e</w:t>
      </w:r>
      <w:r w:rsidR="00CF426B" w:rsidRPr="00CF426B">
        <w:t xml:space="preserve"> </w:t>
      </w:r>
      <w:r w:rsidRPr="00CF426B">
        <w:t>Review concluded that section 49 should be deleted and that sections 51–52 should be</w:t>
      </w:r>
      <w:r w:rsidR="00CF426B" w:rsidRPr="00CF426B">
        <w:t xml:space="preserve"> </w:t>
      </w:r>
      <w:r w:rsidRPr="00CF426B">
        <w:t>amended as outlined in Recommendation 5.5 below.</w:t>
      </w:r>
    </w:p>
    <w:p w14:paraId="31453171" w14:textId="4B188DCC" w:rsidR="00703FD2" w:rsidRPr="00CF426B" w:rsidRDefault="00703FD2" w:rsidP="00DF7298">
      <w:pPr>
        <w:pStyle w:val="Recommendation"/>
        <w:keepNext/>
        <w:keepLines/>
      </w:pPr>
      <w:r w:rsidRPr="00CF426B">
        <w:lastRenderedPageBreak/>
        <w:t>Recommendation 5.5: The Review recommends that section 49 should be</w:t>
      </w:r>
      <w:r w:rsidR="000C2051" w:rsidRPr="00CF426B">
        <w:t xml:space="preserve"> </w:t>
      </w:r>
      <w:r w:rsidRPr="00CF426B">
        <w:t>deleted and that sections 51–52 should be amended to:</w:t>
      </w:r>
    </w:p>
    <w:p w14:paraId="46868435" w14:textId="5A93ABF5" w:rsidR="00703FD2" w:rsidRPr="00CF426B" w:rsidRDefault="00DF7298" w:rsidP="00DF7298">
      <w:pPr>
        <w:pStyle w:val="Recommendation"/>
        <w:keepNext/>
        <w:keepLines/>
      </w:pPr>
      <w:r>
        <w:t xml:space="preserve">- </w:t>
      </w:r>
      <w:r w:rsidR="00703FD2" w:rsidRPr="00CF426B">
        <w:t>require the Regulator to identify whether or not the GMO poses a</w:t>
      </w:r>
      <w:r w:rsidR="000C2051" w:rsidRPr="00CF426B">
        <w:t xml:space="preserve"> signifi</w:t>
      </w:r>
      <w:r w:rsidR="00703FD2" w:rsidRPr="00CF426B">
        <w:t>cant risk to the health and safety of people or the environment</w:t>
      </w:r>
      <w:r w:rsidR="000C2051" w:rsidRPr="00CF426B">
        <w:t xml:space="preserve"> </w:t>
      </w:r>
      <w:r w:rsidR="00703FD2" w:rsidRPr="00CF426B">
        <w:t xml:space="preserve">as part of the preparation of the </w:t>
      </w:r>
      <w:proofErr w:type="gramStart"/>
      <w:r w:rsidR="00703FD2" w:rsidRPr="00CF426B">
        <w:t>RARMP;</w:t>
      </w:r>
      <w:proofErr w:type="gramEnd"/>
    </w:p>
    <w:p w14:paraId="318ABC06" w14:textId="0FE9E134" w:rsidR="000C2051" w:rsidRPr="00CF426B" w:rsidRDefault="00DF7298" w:rsidP="00DF7298">
      <w:pPr>
        <w:pStyle w:val="Recommendation"/>
        <w:keepNext/>
        <w:keepLines/>
      </w:pPr>
      <w:r>
        <w:t xml:space="preserve">- </w:t>
      </w:r>
      <w:r w:rsidR="00703FD2" w:rsidRPr="00CF426B">
        <w:t>provide that where the Regulator gives notice of a decision that</w:t>
      </w:r>
      <w:r w:rsidR="000C2051" w:rsidRPr="00CF426B">
        <w:t xml:space="preserve"> a GMO may pose a signifi</w:t>
      </w:r>
      <w:r w:rsidR="00703FD2" w:rsidRPr="00CF426B">
        <w:t>cant risk that a second round of public</w:t>
      </w:r>
      <w:r w:rsidR="000C2051" w:rsidRPr="00CF426B">
        <w:t xml:space="preserve"> </w:t>
      </w:r>
      <w:r w:rsidR="00703FD2" w:rsidRPr="00CF426B">
        <w:t>should then take place after the Regulator has reviewed the RARMP</w:t>
      </w:r>
      <w:r w:rsidR="000C2051" w:rsidRPr="00CF426B">
        <w:t xml:space="preserve"> </w:t>
      </w:r>
      <w:r w:rsidR="00703FD2" w:rsidRPr="00CF426B">
        <w:t>following the initial round of consultation under section 52.</w:t>
      </w:r>
      <w:r w:rsidR="000C2051" w:rsidRPr="00CF426B">
        <w:t xml:space="preserve"> </w:t>
      </w:r>
      <w:r w:rsidR="00703FD2" w:rsidRPr="00CF426B">
        <w:t>This additional consultation period should be 20 working days.</w:t>
      </w:r>
    </w:p>
    <w:p w14:paraId="0C7A5934" w14:textId="77777777" w:rsidR="000C2051" w:rsidRPr="00DF7298" w:rsidRDefault="000C2051" w:rsidP="00DF7298">
      <w:pPr>
        <w:pStyle w:val="Heading2"/>
      </w:pPr>
      <w:bookmarkStart w:id="55" w:name="_Toc95326289"/>
      <w:r w:rsidRPr="00DF7298">
        <w:t>Timeframes</w:t>
      </w:r>
      <w:bookmarkEnd w:id="55"/>
    </w:p>
    <w:p w14:paraId="4CBCDEC1" w14:textId="00C315CF" w:rsidR="000C2051" w:rsidRPr="000C2051" w:rsidRDefault="000C2051" w:rsidP="00DF7298">
      <w:r w:rsidRPr="000C2051">
        <w:t xml:space="preserve">The statutory time frames for </w:t>
      </w:r>
      <w:r w:rsidRPr="00DF7298">
        <w:t>applications</w:t>
      </w:r>
      <w:r w:rsidRPr="000C2051">
        <w:t xml:space="preserve"> under the Act were another key theme</w:t>
      </w:r>
      <w:r w:rsidR="00BF6547">
        <w:t xml:space="preserve"> </w:t>
      </w:r>
      <w:r w:rsidRPr="000C2051">
        <w:t>in the consultations. These time frames are intended to provide certainty for those</w:t>
      </w:r>
      <w:r w:rsidR="00BF6547">
        <w:t xml:space="preserve"> </w:t>
      </w:r>
      <w:r w:rsidRPr="000C2051">
        <w:t>applying for licences and other instruments. The time frames within which the</w:t>
      </w:r>
      <w:r w:rsidR="00BF6547">
        <w:t xml:space="preserve"> </w:t>
      </w:r>
      <w:r w:rsidRPr="000C2051">
        <w:t>Regulator must issue, or refuse to issue, a licence or other instrument are as follows:</w:t>
      </w:r>
    </w:p>
    <w:p w14:paraId="04BA7B2B" w14:textId="77777777" w:rsidR="000C2051" w:rsidRPr="00DF7298" w:rsidRDefault="000C2051" w:rsidP="00DF7298">
      <w:pPr>
        <w:rPr>
          <w:b/>
          <w:bCs/>
        </w:rPr>
      </w:pPr>
      <w:r w:rsidRPr="00DF7298">
        <w:rPr>
          <w:b/>
          <w:bCs/>
        </w:rPr>
        <w:t>Table 2: Statutory time frames for applications under the Act</w:t>
      </w:r>
    </w:p>
    <w:p w14:paraId="0113C710" w14:textId="77777777" w:rsidR="000C2051" w:rsidRPr="000C2051" w:rsidRDefault="000C2051" w:rsidP="000C2051">
      <w:pPr>
        <w:autoSpaceDE w:val="0"/>
        <w:autoSpaceDN w:val="0"/>
        <w:adjustRightInd w:val="0"/>
        <w:spacing w:after="0" w:line="240" w:lineRule="auto"/>
        <w:rPr>
          <w:rFonts w:asciiTheme="minorHAnsi" w:hAnsiTheme="minorHAnsi" w:cstheme="minorHAnsi"/>
          <w:b/>
          <w:bCs/>
          <w:color w:val="FFFFFF"/>
        </w:rPr>
      </w:pPr>
      <w:r w:rsidRPr="000C2051">
        <w:rPr>
          <w:rFonts w:asciiTheme="minorHAnsi" w:hAnsiTheme="minorHAnsi" w:cstheme="minorHAnsi"/>
          <w:b/>
          <w:bCs/>
          <w:color w:val="FFFFFF"/>
        </w:rPr>
        <w:t>Category Time frame</w:t>
      </w:r>
    </w:p>
    <w:tbl>
      <w:tblPr>
        <w:tblStyle w:val="TableGrid"/>
        <w:tblW w:w="0" w:type="auto"/>
        <w:tblLook w:val="04A0" w:firstRow="1" w:lastRow="0" w:firstColumn="1" w:lastColumn="0" w:noHBand="0" w:noVBand="1"/>
      </w:tblPr>
      <w:tblGrid>
        <w:gridCol w:w="4508"/>
        <w:gridCol w:w="4508"/>
      </w:tblGrid>
      <w:tr w:rsidR="00161702" w:rsidRPr="00161702" w14:paraId="060FD9AE" w14:textId="77777777" w:rsidTr="00161702">
        <w:tc>
          <w:tcPr>
            <w:tcW w:w="4508" w:type="dxa"/>
            <w:shd w:val="clear" w:color="auto" w:fill="000000" w:themeFill="text1"/>
          </w:tcPr>
          <w:p w14:paraId="6AD1122D" w14:textId="71B05B45" w:rsidR="00DF7298" w:rsidRPr="00161702" w:rsidRDefault="00DF7298" w:rsidP="00161702">
            <w:pPr>
              <w:pStyle w:val="Tableheader"/>
              <w:rPr>
                <w:color w:val="FFFFFF" w:themeColor="background1"/>
              </w:rPr>
            </w:pPr>
            <w:r w:rsidRPr="00161702">
              <w:rPr>
                <w:color w:val="FFFFFF" w:themeColor="background1"/>
              </w:rPr>
              <w:t>Category</w:t>
            </w:r>
          </w:p>
        </w:tc>
        <w:tc>
          <w:tcPr>
            <w:tcW w:w="4508" w:type="dxa"/>
            <w:shd w:val="clear" w:color="auto" w:fill="000000" w:themeFill="text1"/>
          </w:tcPr>
          <w:p w14:paraId="71B3494C" w14:textId="3FD4793D" w:rsidR="00DF7298" w:rsidRPr="00161702" w:rsidRDefault="00DF7298" w:rsidP="00161702">
            <w:pPr>
              <w:pStyle w:val="Tableheader"/>
              <w:rPr>
                <w:color w:val="FFFFFF" w:themeColor="background1"/>
              </w:rPr>
            </w:pPr>
            <w:r w:rsidRPr="00161702">
              <w:rPr>
                <w:color w:val="FFFFFF" w:themeColor="background1"/>
              </w:rPr>
              <w:t>Time frame</w:t>
            </w:r>
          </w:p>
        </w:tc>
      </w:tr>
      <w:tr w:rsidR="00DF7298" w:rsidRPr="00DF7298" w14:paraId="4D02B02A" w14:textId="77777777" w:rsidTr="00DF7298">
        <w:tc>
          <w:tcPr>
            <w:tcW w:w="4508" w:type="dxa"/>
          </w:tcPr>
          <w:p w14:paraId="6EBDACFB" w14:textId="77777777" w:rsidR="00DF7298" w:rsidRPr="00DF7298" w:rsidRDefault="00DF7298" w:rsidP="00DF7298">
            <w:r w:rsidRPr="00DF7298">
              <w:t>DNIR (Dealings Not involving Intentional Release)</w:t>
            </w:r>
          </w:p>
        </w:tc>
        <w:tc>
          <w:tcPr>
            <w:tcW w:w="4508" w:type="dxa"/>
          </w:tcPr>
          <w:p w14:paraId="7DA20E11" w14:textId="77777777" w:rsidR="00DF7298" w:rsidRPr="00DF7298" w:rsidRDefault="00DF7298" w:rsidP="00DF7298">
            <w:r w:rsidRPr="00DF7298">
              <w:t>90 working days (Regulation 8)</w:t>
            </w:r>
          </w:p>
        </w:tc>
      </w:tr>
      <w:tr w:rsidR="00DF7298" w:rsidRPr="00DF7298" w14:paraId="15293ED9" w14:textId="77777777" w:rsidTr="00DF7298">
        <w:tc>
          <w:tcPr>
            <w:tcW w:w="4508" w:type="dxa"/>
          </w:tcPr>
          <w:p w14:paraId="7B2D1D30" w14:textId="77777777" w:rsidR="00DF7298" w:rsidRPr="00DF7298" w:rsidRDefault="00DF7298" w:rsidP="00DF7298">
            <w:r w:rsidRPr="00DF7298">
              <w:t>DIR (Dealings involving Intentional Release)</w:t>
            </w:r>
          </w:p>
        </w:tc>
        <w:tc>
          <w:tcPr>
            <w:tcW w:w="4508" w:type="dxa"/>
          </w:tcPr>
          <w:p w14:paraId="0CC5A3CA" w14:textId="77777777" w:rsidR="00DF7298" w:rsidRPr="00DF7298" w:rsidRDefault="00DF7298" w:rsidP="00DF7298">
            <w:r w:rsidRPr="00DF7298">
              <w:t>170 working days (Regulation 8)</w:t>
            </w:r>
          </w:p>
        </w:tc>
      </w:tr>
      <w:tr w:rsidR="00DF7298" w:rsidRPr="00DF7298" w14:paraId="4351B373" w14:textId="77777777" w:rsidTr="00DF7298">
        <w:tc>
          <w:tcPr>
            <w:tcW w:w="4508" w:type="dxa"/>
          </w:tcPr>
          <w:p w14:paraId="6A5CC2BA" w14:textId="77777777" w:rsidR="00DF7298" w:rsidRPr="00DF7298" w:rsidRDefault="00DF7298" w:rsidP="00DF7298">
            <w:r w:rsidRPr="00DF7298">
              <w:t>Accreditation</w:t>
            </w:r>
          </w:p>
        </w:tc>
        <w:tc>
          <w:tcPr>
            <w:tcW w:w="4508" w:type="dxa"/>
          </w:tcPr>
          <w:p w14:paraId="03A746BF" w14:textId="77777777" w:rsidR="00DF7298" w:rsidRPr="00DF7298" w:rsidRDefault="00DF7298" w:rsidP="00DF7298">
            <w:r w:rsidRPr="00DF7298">
              <w:t>90 working days (Regulation 16)</w:t>
            </w:r>
          </w:p>
        </w:tc>
      </w:tr>
      <w:tr w:rsidR="00DF7298" w:rsidRPr="00DF7298" w14:paraId="093D93A0" w14:textId="77777777" w:rsidTr="00DF7298">
        <w:tc>
          <w:tcPr>
            <w:tcW w:w="4508" w:type="dxa"/>
          </w:tcPr>
          <w:p w14:paraId="305E271C" w14:textId="77777777" w:rsidR="00DF7298" w:rsidRPr="00DF7298" w:rsidRDefault="00DF7298" w:rsidP="00DF7298">
            <w:r w:rsidRPr="00DF7298">
              <w:t>Certification</w:t>
            </w:r>
          </w:p>
        </w:tc>
        <w:tc>
          <w:tcPr>
            <w:tcW w:w="4508" w:type="dxa"/>
          </w:tcPr>
          <w:p w14:paraId="270F18F7" w14:textId="77777777" w:rsidR="00DF7298" w:rsidRPr="00DF7298" w:rsidRDefault="00DF7298" w:rsidP="00DF7298">
            <w:r w:rsidRPr="00DF7298">
              <w:t>90 working days (Regulation 14)</w:t>
            </w:r>
          </w:p>
        </w:tc>
      </w:tr>
    </w:tbl>
    <w:p w14:paraId="011ED22A" w14:textId="41B548BC" w:rsidR="000C2051" w:rsidRPr="00161702" w:rsidRDefault="000C2051" w:rsidP="00161702">
      <w:r w:rsidRPr="00161702">
        <w:t>Presently, there are no statutory time frames for some types of applications, such as</w:t>
      </w:r>
      <w:r w:rsidR="00BF6547" w:rsidRPr="00161702">
        <w:t xml:space="preserve"> </w:t>
      </w:r>
      <w:r w:rsidRPr="00161702">
        <w:t>variations.</w:t>
      </w:r>
    </w:p>
    <w:p w14:paraId="16714E0E" w14:textId="62B41D80" w:rsidR="000C2051" w:rsidRPr="00161702" w:rsidRDefault="000C2051" w:rsidP="00161702">
      <w:r w:rsidRPr="00161702">
        <w:t>Industry and research groups were concerned that the application time frames are too</w:t>
      </w:r>
      <w:r w:rsidR="00BF6547" w:rsidRPr="00161702">
        <w:t xml:space="preserve"> </w:t>
      </w:r>
      <w:r w:rsidRPr="00161702">
        <w:t xml:space="preserve">long, with </w:t>
      </w:r>
      <w:proofErr w:type="gramStart"/>
      <w:r w:rsidRPr="00161702">
        <w:t>particular concerns</w:t>
      </w:r>
      <w:proofErr w:type="gramEnd"/>
      <w:r w:rsidRPr="00161702">
        <w:t xml:space="preserve"> over DIR processes, where the Act does not distinguish</w:t>
      </w:r>
      <w:r w:rsidR="00BF6547" w:rsidRPr="00161702">
        <w:t xml:space="preserve"> </w:t>
      </w:r>
      <w:r w:rsidRPr="00161702">
        <w:t>be</w:t>
      </w:r>
      <w:r w:rsidR="00BF6547" w:rsidRPr="00161702">
        <w:t>tween limited and controlled fi</w:t>
      </w:r>
      <w:r w:rsidRPr="00161702">
        <w:t>eld trials that enable data to be collected and</w:t>
      </w:r>
      <w:r w:rsidR="00BF6547" w:rsidRPr="00161702">
        <w:t xml:space="preserve"> </w:t>
      </w:r>
      <w:r w:rsidRPr="00161702">
        <w:t>commercial releases. The Review heard that this lack of distinction creates inefficiencies</w:t>
      </w:r>
      <w:r w:rsidR="00BF6547" w:rsidRPr="00161702">
        <w:t xml:space="preserve"> </w:t>
      </w:r>
      <w:r w:rsidRPr="00161702">
        <w:t>associated with having to</w:t>
      </w:r>
      <w:r w:rsidR="00BF6547" w:rsidRPr="00161702">
        <w:t xml:space="preserve"> </w:t>
      </w:r>
      <w:r w:rsidRPr="00161702">
        <w:t>prepare separate, d</w:t>
      </w:r>
      <w:r w:rsidR="00BF6547" w:rsidRPr="00161702">
        <w:t>etailed applications for the fi</w:t>
      </w:r>
      <w:r w:rsidRPr="00161702">
        <w:t>eld trial and</w:t>
      </w:r>
      <w:r w:rsidR="00BF6547" w:rsidRPr="00161702">
        <w:t xml:space="preserve"> </w:t>
      </w:r>
      <w:r w:rsidRPr="00161702">
        <w:t>then the commercial release, as well as having to wait for up to 170 working days for</w:t>
      </w:r>
      <w:r w:rsidR="00BF6547" w:rsidRPr="00161702">
        <w:t xml:space="preserve"> </w:t>
      </w:r>
      <w:r w:rsidRPr="00161702">
        <w:t xml:space="preserve">each licence. Notably, the Regulator </w:t>
      </w:r>
      <w:r w:rsidR="00BF6547" w:rsidRPr="00161702">
        <w:t>a</w:t>
      </w:r>
      <w:r w:rsidRPr="00161702">
        <w:t>lso recommended that consideration be given to</w:t>
      </w:r>
      <w:r w:rsidR="00BF6547" w:rsidRPr="00161702">
        <w:t xml:space="preserve"> differentiating between fi</w:t>
      </w:r>
      <w:r w:rsidRPr="00161702">
        <w:t>eld trial and commercial release licences.</w:t>
      </w:r>
    </w:p>
    <w:p w14:paraId="13CC3CCA" w14:textId="32DCA319" w:rsidR="000C2051" w:rsidRPr="00161702" w:rsidRDefault="000C2051" w:rsidP="00161702">
      <w:r w:rsidRPr="00161702">
        <w:t>The Review considers the DIR category to be a key area necessitating change based</w:t>
      </w:r>
      <w:r w:rsidR="00BF6547" w:rsidRPr="00161702">
        <w:t xml:space="preserve"> </w:t>
      </w:r>
      <w:r w:rsidRPr="00161702">
        <w:t>on four years’ practical experience in the working of the Act. It concluded that</w:t>
      </w:r>
      <w:r w:rsidR="00BF6547" w:rsidRPr="00161702">
        <w:t xml:space="preserve"> </w:t>
      </w:r>
      <w:r w:rsidRPr="00161702">
        <w:t>the DIR category should be split to distinguish between field trial and commercial</w:t>
      </w:r>
      <w:r w:rsidR="00BF6547" w:rsidRPr="00161702">
        <w:t xml:space="preserve"> </w:t>
      </w:r>
      <w:r w:rsidRPr="00161702">
        <w:t>release licences, and that the associated information requirements and application</w:t>
      </w:r>
      <w:r w:rsidR="00BF6547" w:rsidRPr="00161702">
        <w:t xml:space="preserve"> </w:t>
      </w:r>
      <w:r w:rsidRPr="00161702">
        <w:t>documents be streamlined to eliminate as much duplication as possible. These</w:t>
      </w:r>
      <w:r w:rsidR="00BF6547" w:rsidRPr="00161702">
        <w:t xml:space="preserve"> </w:t>
      </w:r>
      <w:r w:rsidRPr="00161702">
        <w:t>changes would reduce administrative complexity for industry and research groups in</w:t>
      </w:r>
      <w:r w:rsidR="00BF6547" w:rsidRPr="00161702">
        <w:t xml:space="preserve"> </w:t>
      </w:r>
      <w:r w:rsidRPr="00161702">
        <w:t xml:space="preserve">the first instance, </w:t>
      </w:r>
      <w:proofErr w:type="gramStart"/>
      <w:r w:rsidRPr="00161702">
        <w:t>and also</w:t>
      </w:r>
      <w:proofErr w:type="gramEnd"/>
      <w:r w:rsidRPr="00161702">
        <w:t xml:space="preserve"> for the OGTR.</w:t>
      </w:r>
    </w:p>
    <w:p w14:paraId="1D44DE39" w14:textId="5569C9A0" w:rsidR="000C2051" w:rsidRPr="00161702" w:rsidRDefault="000C2051" w:rsidP="00161702">
      <w:pPr>
        <w:pStyle w:val="Recommendation"/>
      </w:pPr>
      <w:r w:rsidRPr="00161702">
        <w:lastRenderedPageBreak/>
        <w:t>Recommendation 5.6: The Review recommends that the DIR category be</w:t>
      </w:r>
      <w:r w:rsidR="00BF6547" w:rsidRPr="00161702">
        <w:t xml:space="preserve"> </w:t>
      </w:r>
      <w:r w:rsidRPr="00161702">
        <w:t>split to distinguish between field trial and commercial release licences.</w:t>
      </w:r>
    </w:p>
    <w:p w14:paraId="760E01D0" w14:textId="5668ED45" w:rsidR="000C2051" w:rsidRPr="00161702" w:rsidRDefault="000C2051" w:rsidP="00161702">
      <w:r w:rsidRPr="00161702">
        <w:t>The splitting of field trials and commercial releases will allow appropriate time frames</w:t>
      </w:r>
      <w:r w:rsidR="00BF6547" w:rsidRPr="00161702">
        <w:t xml:space="preserve"> to be set for fi</w:t>
      </w:r>
      <w:r w:rsidRPr="00161702">
        <w:t>eld trials and commercial releases. The Regulator noted that assessment</w:t>
      </w:r>
      <w:r w:rsidR="00BF6547" w:rsidRPr="00161702">
        <w:t xml:space="preserve"> of fi</w:t>
      </w:r>
      <w:r w:rsidRPr="00161702">
        <w:t>eld trials is much less involved than that required for commercial releases.</w:t>
      </w:r>
    </w:p>
    <w:p w14:paraId="12688D9A" w14:textId="77777777" w:rsidR="00EB6DA2" w:rsidRPr="00161702" w:rsidRDefault="000C2051" w:rsidP="00161702">
      <w:r w:rsidRPr="00161702">
        <w:t>The Re</w:t>
      </w:r>
      <w:r w:rsidR="00BF6547" w:rsidRPr="00161702">
        <w:t>view heard that for fi</w:t>
      </w:r>
      <w:r w:rsidRPr="00161702">
        <w:t>eld trials, one round of consultation with prescribed</w:t>
      </w:r>
      <w:r w:rsidR="00BF6547" w:rsidRPr="00161702">
        <w:t xml:space="preserve"> agencies and others specified under section 50 would be sufficient and could be done concurrently with the public consultation.</w:t>
      </w:r>
    </w:p>
    <w:p w14:paraId="1DDBC0A6" w14:textId="12634A5C" w:rsidR="00BF6547" w:rsidRPr="00161702" w:rsidRDefault="00BF6547" w:rsidP="00161702">
      <w:r w:rsidRPr="00161702">
        <w:t xml:space="preserve">The Review therefore concluded that DIR field trial licences could be given a time frame of 150 working days (that is 170 working days minus the </w:t>
      </w:r>
      <w:proofErr w:type="gramStart"/>
      <w:r w:rsidRPr="00161702">
        <w:t>20 working</w:t>
      </w:r>
      <w:proofErr w:type="gramEnd"/>
      <w:r w:rsidRPr="00161702">
        <w:t xml:space="preserve"> day consultation period). As stated earlier, if the Regulator determines that the GMO may pose a significant risk, thereby triggering two rounds of public consultation on the RARMP, the statutory time frame should be extended to 170 working days. The Review considers that this will result in important efficiency gains for industry as the bulk of the DIR applications are for field trials.</w:t>
      </w:r>
    </w:p>
    <w:p w14:paraId="127A7175" w14:textId="06285A2E" w:rsidR="00BF6547" w:rsidRPr="00161702" w:rsidRDefault="00BF6547" w:rsidP="00161702">
      <w:pPr>
        <w:pStyle w:val="Recommendation"/>
      </w:pPr>
      <w:r w:rsidRPr="00161702">
        <w:t>Recommendation 5.7: The Review recommends that DIR field trial licences be subject to a statutory time frame of 150 working days or 170 working days for a GMO that the Regulator assesses may pose a significant risk.</w:t>
      </w:r>
    </w:p>
    <w:p w14:paraId="7E5F3E1D" w14:textId="77777777" w:rsidR="00BF6547" w:rsidRPr="00161702" w:rsidRDefault="00BF6547" w:rsidP="00161702">
      <w:r w:rsidRPr="00161702">
        <w:t>The Review noted that the OGTR’s 170 working day statutory time frame was shorter than those of comparable regulatory agencies (see below).</w:t>
      </w:r>
    </w:p>
    <w:p w14:paraId="27FBB504" w14:textId="77777777" w:rsidR="00161702" w:rsidRPr="00161702" w:rsidRDefault="00161702" w:rsidP="00161702">
      <w:pPr>
        <w:shd w:val="clear" w:color="auto" w:fill="E7E6E6" w:themeFill="background2"/>
      </w:pPr>
      <w:r w:rsidRPr="00161702">
        <w:t>Statutory time frames for decision-making</w:t>
      </w:r>
    </w:p>
    <w:p w14:paraId="7E5C289A" w14:textId="63511E38" w:rsidR="00161702" w:rsidRPr="00161702" w:rsidRDefault="00161702" w:rsidP="00161702">
      <w:pPr>
        <w:shd w:val="clear" w:color="auto" w:fill="E7E6E6" w:themeFill="background2"/>
      </w:pPr>
      <w:r>
        <w:t xml:space="preserve">- </w:t>
      </w:r>
      <w:r w:rsidRPr="00161702">
        <w:t>OGTR DNIR licences: 90 working days</w:t>
      </w:r>
    </w:p>
    <w:p w14:paraId="308E8718" w14:textId="5A9E443C" w:rsidR="00161702" w:rsidRPr="00161702" w:rsidRDefault="00161702" w:rsidP="00161702">
      <w:pPr>
        <w:shd w:val="clear" w:color="auto" w:fill="E7E6E6" w:themeFill="background2"/>
      </w:pPr>
      <w:r>
        <w:t xml:space="preserve">- </w:t>
      </w:r>
      <w:r w:rsidRPr="00161702">
        <w:t>OGTR DIR licence: 170 working days</w:t>
      </w:r>
    </w:p>
    <w:p w14:paraId="66E173F7" w14:textId="734263F2" w:rsidR="00161702" w:rsidRPr="00161702" w:rsidRDefault="00161702" w:rsidP="00161702">
      <w:pPr>
        <w:shd w:val="clear" w:color="auto" w:fill="E7E6E6" w:themeFill="background2"/>
      </w:pPr>
      <w:r>
        <w:t xml:space="preserve">- </w:t>
      </w:r>
      <w:r w:rsidRPr="00161702">
        <w:t>TGA registration: 255 working days</w:t>
      </w:r>
    </w:p>
    <w:p w14:paraId="722AB92C" w14:textId="5F761195" w:rsidR="00161702" w:rsidRPr="00161702" w:rsidRDefault="00161702" w:rsidP="00161702">
      <w:pPr>
        <w:shd w:val="clear" w:color="auto" w:fill="E7E6E6" w:themeFill="background2"/>
      </w:pPr>
      <w:r>
        <w:t xml:space="preserve">- </w:t>
      </w:r>
      <w:r w:rsidRPr="00161702">
        <w:t>APVMA registration: approx. 12 months (approx. 255 working days)</w:t>
      </w:r>
    </w:p>
    <w:p w14:paraId="6C0EC325" w14:textId="56ABD2B2" w:rsidR="00161702" w:rsidRPr="00161702" w:rsidRDefault="00161702" w:rsidP="00161702">
      <w:pPr>
        <w:shd w:val="clear" w:color="auto" w:fill="E7E6E6" w:themeFill="background2"/>
      </w:pPr>
      <w:r>
        <w:t xml:space="preserve">- </w:t>
      </w:r>
      <w:r w:rsidRPr="00161702">
        <w:t>FSANZ safety assessment: approx. 12 months (approx. 255 working days)</w:t>
      </w:r>
    </w:p>
    <w:p w14:paraId="74884E00" w14:textId="77777777" w:rsidR="00BF6547" w:rsidRPr="005B33A5" w:rsidRDefault="00BF6547" w:rsidP="005B33A5">
      <w:r w:rsidRPr="005B33A5">
        <w:t>The Regulator recommended that the time frame for commercial release licences be</w:t>
      </w:r>
      <w:r w:rsidR="006A3843" w:rsidRPr="005B33A5">
        <w:t xml:space="preserve"> </w:t>
      </w:r>
      <w:r w:rsidRPr="005B33A5">
        <w:t>extended. For a commercial release licence, as the scale would not usually be limited</w:t>
      </w:r>
      <w:r w:rsidR="006A3843" w:rsidRPr="005B33A5">
        <w:t xml:space="preserve"> </w:t>
      </w:r>
      <w:r w:rsidRPr="005B33A5">
        <w:t>there are a broader range of environments and ecosystems that must be considered</w:t>
      </w:r>
      <w:r w:rsidR="006A3843" w:rsidRPr="005B33A5">
        <w:t xml:space="preserve"> </w:t>
      </w:r>
      <w:r w:rsidRPr="005B33A5">
        <w:t>in the risk assessment. In her experience the Regulator pointed out that this requires</w:t>
      </w:r>
      <w:r w:rsidR="006A3843" w:rsidRPr="005B33A5">
        <w:t xml:space="preserve"> </w:t>
      </w:r>
      <w:r w:rsidRPr="005B33A5">
        <w:t>more rigorous</w:t>
      </w:r>
      <w:r w:rsidR="006A3843" w:rsidRPr="005B33A5">
        <w:t xml:space="preserve"> </w:t>
      </w:r>
      <w:r w:rsidRPr="005B33A5">
        <w:t>and resource intensive assessment.</w:t>
      </w:r>
    </w:p>
    <w:p w14:paraId="2CB419E2" w14:textId="77777777" w:rsidR="006A3843" w:rsidRDefault="00BF6547" w:rsidP="005B33A5">
      <w:r w:rsidRPr="005B33A5">
        <w:t>The Review also considered it appropriate th</w:t>
      </w:r>
      <w:r w:rsidR="006A3843" w:rsidRPr="005B33A5">
        <w:t>at the time frame allows the fl</w:t>
      </w:r>
      <w:r w:rsidRPr="005B33A5">
        <w:t>exibility</w:t>
      </w:r>
      <w:r w:rsidR="006A3843" w:rsidRPr="005B33A5">
        <w:t xml:space="preserve"> </w:t>
      </w:r>
      <w:r w:rsidRPr="005B33A5">
        <w:t>for the Regulator to tailor the length of public consultation to the type and extent</w:t>
      </w:r>
      <w:r w:rsidR="006A3843" w:rsidRPr="005B33A5">
        <w:t xml:space="preserve"> </w:t>
      </w:r>
      <w:r w:rsidRPr="005B33A5">
        <w:t>of commercial release. The Review noted that a timeframe of 255 days would be</w:t>
      </w:r>
      <w:r w:rsidR="006A3843" w:rsidRPr="005B33A5">
        <w:t xml:space="preserve"> </w:t>
      </w:r>
      <w:r w:rsidRPr="005B33A5">
        <w:t>appropriate as it would also enable the Regulator to align her decision to the greatest</w:t>
      </w:r>
      <w:r w:rsidR="006A3843" w:rsidRPr="005B33A5">
        <w:t xml:space="preserve"> </w:t>
      </w:r>
      <w:r w:rsidRPr="005B33A5">
        <w:t>extent possible with the other regulatory agencies. The Review concluded that the</w:t>
      </w:r>
      <w:r w:rsidR="006A3843" w:rsidRPr="005B33A5">
        <w:t xml:space="preserve"> </w:t>
      </w:r>
      <w:r w:rsidRPr="005B33A5">
        <w:t>appropriate time frame for the assessment of a commercial release is 255 working</w:t>
      </w:r>
      <w:r w:rsidR="006A3843" w:rsidRPr="005B33A5">
        <w:t xml:space="preserve"> </w:t>
      </w:r>
      <w:r w:rsidRPr="005B33A5">
        <w:t>days. The Review further concluded that if the Regulator identifies that a commercial</w:t>
      </w:r>
      <w:r w:rsidR="006A3843" w:rsidRPr="005B33A5">
        <w:t xml:space="preserve"> </w:t>
      </w:r>
      <w:r w:rsidRPr="005B33A5">
        <w:t>release application poses a significant risk, the additional round of consultation on</w:t>
      </w:r>
      <w:r w:rsidR="006A3843" w:rsidRPr="005B33A5">
        <w:t xml:space="preserve"> </w:t>
      </w:r>
      <w:r w:rsidRPr="005B33A5">
        <w:t>the RARMP must</w:t>
      </w:r>
      <w:r w:rsidRPr="00BF6547">
        <w:t xml:space="preserve"> be conducted within the </w:t>
      </w:r>
      <w:proofErr w:type="gramStart"/>
      <w:r w:rsidRPr="00BF6547">
        <w:t>255 day</w:t>
      </w:r>
      <w:proofErr w:type="gramEnd"/>
      <w:r w:rsidRPr="00BF6547">
        <w:t xml:space="preserve"> timeframe.</w:t>
      </w:r>
    </w:p>
    <w:p w14:paraId="1CD1DD88" w14:textId="246EF480" w:rsidR="006A3843" w:rsidRPr="005B33A5" w:rsidRDefault="006A3843" w:rsidP="005B33A5">
      <w:pPr>
        <w:pStyle w:val="Recommendation"/>
        <w:keepNext/>
        <w:keepLines/>
      </w:pPr>
      <w:r w:rsidRPr="005B33A5">
        <w:lastRenderedPageBreak/>
        <w:t>Recommendation 5.8: The Review recommends that the statutory time</w:t>
      </w:r>
      <w:r w:rsidR="003108DF" w:rsidRPr="005B33A5">
        <w:t xml:space="preserve"> </w:t>
      </w:r>
      <w:r w:rsidRPr="005B33A5">
        <w:t>frame for commercial DIR licences be extended to 255 working days (this</w:t>
      </w:r>
      <w:r w:rsidR="003108DF" w:rsidRPr="005B33A5">
        <w:t xml:space="preserve"> </w:t>
      </w:r>
      <w:r w:rsidRPr="005B33A5">
        <w:t>is consistent with other relevant regulatory systems) to ensure that the</w:t>
      </w:r>
      <w:r w:rsidR="003108DF" w:rsidRPr="005B33A5">
        <w:t xml:space="preserve"> </w:t>
      </w:r>
      <w:r w:rsidRPr="005B33A5">
        <w:t>Regulator has adequate time for assessment and public</w:t>
      </w:r>
      <w:r w:rsidR="003108DF" w:rsidRPr="005B33A5">
        <w:t xml:space="preserve"> </w:t>
      </w:r>
      <w:r w:rsidRPr="005B33A5">
        <w:t>consultation.</w:t>
      </w:r>
      <w:r w:rsidR="003108DF" w:rsidRPr="005B33A5">
        <w:t xml:space="preserve"> </w:t>
      </w:r>
      <w:r w:rsidRPr="005B33A5">
        <w:t>If the Regulator identifies that a commercial release application poses</w:t>
      </w:r>
      <w:r w:rsidR="003108DF" w:rsidRPr="005B33A5">
        <w:t xml:space="preserve"> </w:t>
      </w:r>
      <w:r w:rsidRPr="005B33A5">
        <w:t>a significant risk, the additional round of consultation on the RARMP</w:t>
      </w:r>
      <w:r w:rsidR="003108DF" w:rsidRPr="005B33A5">
        <w:t xml:space="preserve"> </w:t>
      </w:r>
      <w:r w:rsidRPr="005B33A5">
        <w:t xml:space="preserve">must be conducted within the </w:t>
      </w:r>
      <w:proofErr w:type="gramStart"/>
      <w:r w:rsidRPr="005B33A5">
        <w:t>255 day</w:t>
      </w:r>
      <w:proofErr w:type="gramEnd"/>
      <w:r w:rsidRPr="005B33A5">
        <w:t xml:space="preserve"> timeframe.</w:t>
      </w:r>
    </w:p>
    <w:p w14:paraId="3A2C7BA1" w14:textId="6E16985E" w:rsidR="006A3843" w:rsidRPr="005B33A5" w:rsidRDefault="006A3843" w:rsidP="005B33A5">
      <w:pPr>
        <w:pStyle w:val="Heading2"/>
      </w:pPr>
      <w:bookmarkStart w:id="56" w:name="_Toc95326290"/>
      <w:r w:rsidRPr="005B33A5">
        <w:t>Licence variations</w:t>
      </w:r>
      <w:bookmarkEnd w:id="56"/>
    </w:p>
    <w:p w14:paraId="578FA56E" w14:textId="73E04309" w:rsidR="006A3843" w:rsidRPr="005B33A5" w:rsidRDefault="006A3843" w:rsidP="005B33A5">
      <w:r w:rsidRPr="005B33A5">
        <w:t>The Review also considered whether it was appropriate for statutory time frames to</w:t>
      </w:r>
      <w:r w:rsidR="003108DF" w:rsidRPr="005B33A5">
        <w:t xml:space="preserve"> </w:t>
      </w:r>
      <w:r w:rsidRPr="005B33A5">
        <w:t>apply to variations to licences. Given that the time frames exist to provide a level</w:t>
      </w:r>
      <w:r w:rsidR="003108DF" w:rsidRPr="005B33A5">
        <w:t xml:space="preserve"> </w:t>
      </w:r>
      <w:r w:rsidRPr="005B33A5">
        <w:t>of certainty to applicants, the Review agreed that a time frame should apply for</w:t>
      </w:r>
      <w:r w:rsidR="003108DF" w:rsidRPr="005B33A5">
        <w:t xml:space="preserve"> </w:t>
      </w:r>
      <w:r w:rsidRPr="005B33A5">
        <w:t>variations. The Review heard that variations are routinely made within 90 days. The</w:t>
      </w:r>
      <w:r w:rsidR="003108DF" w:rsidRPr="005B33A5">
        <w:t xml:space="preserve"> </w:t>
      </w:r>
      <w:r w:rsidRPr="005B33A5">
        <w:t xml:space="preserve">Review concluded that a </w:t>
      </w:r>
      <w:proofErr w:type="gramStart"/>
      <w:r w:rsidRPr="005B33A5">
        <w:t>90 day</w:t>
      </w:r>
      <w:proofErr w:type="gramEnd"/>
      <w:r w:rsidRPr="005B33A5">
        <w:t xml:space="preserve"> time frame should apply for variations. This issue is</w:t>
      </w:r>
      <w:r w:rsidR="003108DF" w:rsidRPr="005B33A5">
        <w:t xml:space="preserve"> </w:t>
      </w:r>
      <w:r w:rsidRPr="005B33A5">
        <w:t>also referred to in chapter 6.</w:t>
      </w:r>
    </w:p>
    <w:p w14:paraId="3CCA53EA" w14:textId="7D7897E4" w:rsidR="006A3843" w:rsidRPr="005B33A5" w:rsidRDefault="006A3843" w:rsidP="005B33A5">
      <w:r w:rsidRPr="005B33A5">
        <w:t>In coming to this conclusion, the Review found that there should be constraints</w:t>
      </w:r>
      <w:r w:rsidR="003108DF" w:rsidRPr="005B33A5">
        <w:t xml:space="preserve"> </w:t>
      </w:r>
      <w:r w:rsidRPr="005B33A5">
        <w:t>included in the Act to prevent a variation being used to unreasonably extend the</w:t>
      </w:r>
      <w:r w:rsidR="003108DF" w:rsidRPr="005B33A5">
        <w:t xml:space="preserve"> </w:t>
      </w:r>
      <w:r w:rsidRPr="005B33A5">
        <w:t>coverage of a licence. Noting that the Act already provides in subsection 71(2) that a</w:t>
      </w:r>
      <w:r w:rsidR="003108DF" w:rsidRPr="005B33A5">
        <w:t xml:space="preserve"> </w:t>
      </w:r>
      <w:r w:rsidRPr="005B33A5">
        <w:t>DNIR licence should not be converted to a DIR by variation, the Review considered</w:t>
      </w:r>
      <w:r w:rsidR="003108DF" w:rsidRPr="005B33A5">
        <w:t xml:space="preserve"> </w:t>
      </w:r>
      <w:r w:rsidRPr="005B33A5">
        <w:t>that the Act should also provide that:</w:t>
      </w:r>
    </w:p>
    <w:p w14:paraId="39020183" w14:textId="77777777" w:rsidR="006A3843" w:rsidRPr="005B33A5" w:rsidRDefault="003108DF" w:rsidP="009F018E">
      <w:pPr>
        <w:pStyle w:val="ListParagraph"/>
        <w:numPr>
          <w:ilvl w:val="0"/>
          <w:numId w:val="10"/>
        </w:numPr>
      </w:pPr>
      <w:r w:rsidRPr="005B33A5">
        <w:t>a fi</w:t>
      </w:r>
      <w:r w:rsidR="006A3843" w:rsidRPr="005B33A5">
        <w:t xml:space="preserve">eld trial should not be converted to a commercial release by </w:t>
      </w:r>
      <w:proofErr w:type="gramStart"/>
      <w:r w:rsidR="006A3843" w:rsidRPr="005B33A5">
        <w:t>variation;</w:t>
      </w:r>
      <w:proofErr w:type="gramEnd"/>
    </w:p>
    <w:p w14:paraId="1D00DFB3" w14:textId="77777777" w:rsidR="006A3843" w:rsidRPr="005B33A5" w:rsidRDefault="006A3843" w:rsidP="009F018E">
      <w:pPr>
        <w:pStyle w:val="ListParagraph"/>
        <w:numPr>
          <w:ilvl w:val="0"/>
          <w:numId w:val="10"/>
        </w:numPr>
      </w:pPr>
      <w:r w:rsidRPr="005B33A5">
        <w:t>a variation should be able to be assessed by the original RARMP (that is, the</w:t>
      </w:r>
      <w:r w:rsidR="003108DF" w:rsidRPr="005B33A5">
        <w:t xml:space="preserve"> </w:t>
      </w:r>
      <w:r w:rsidRPr="005B33A5">
        <w:t>variation should not present risks that have not been assessed</w:t>
      </w:r>
      <w:proofErr w:type="gramStart"/>
      <w:r w:rsidRPr="005B33A5">
        <w:t>);</w:t>
      </w:r>
      <w:proofErr w:type="gramEnd"/>
    </w:p>
    <w:p w14:paraId="45929917" w14:textId="77777777" w:rsidR="006A3843" w:rsidRPr="005B33A5" w:rsidRDefault="003108DF" w:rsidP="009F018E">
      <w:pPr>
        <w:pStyle w:val="ListParagraph"/>
        <w:numPr>
          <w:ilvl w:val="0"/>
          <w:numId w:val="10"/>
        </w:numPr>
      </w:pPr>
      <w:r w:rsidRPr="005B33A5">
        <w:t>the location of the fi</w:t>
      </w:r>
      <w:r w:rsidR="006A3843" w:rsidRPr="005B33A5">
        <w:t>eld trial can only be varied</w:t>
      </w:r>
      <w:r w:rsidRPr="005B33A5">
        <w:t xml:space="preserve"> where the Regulator is satisfi</w:t>
      </w:r>
      <w:r w:rsidR="006A3843" w:rsidRPr="005B33A5">
        <w:t>ed</w:t>
      </w:r>
      <w:r w:rsidRPr="005B33A5">
        <w:t xml:space="preserve"> </w:t>
      </w:r>
      <w:r w:rsidR="006A3843" w:rsidRPr="005B33A5">
        <w:t>that appropriate local councils have been consulted; and</w:t>
      </w:r>
    </w:p>
    <w:p w14:paraId="2407D0A3" w14:textId="16680E20" w:rsidR="006A3843" w:rsidRPr="005B33A5" w:rsidRDefault="006A3843" w:rsidP="009F018E">
      <w:pPr>
        <w:pStyle w:val="ListParagraph"/>
        <w:numPr>
          <w:ilvl w:val="0"/>
          <w:numId w:val="10"/>
        </w:numPr>
      </w:pPr>
      <w:r w:rsidRPr="005B33A5">
        <w:t>regulations may prescribe other limitations.</w:t>
      </w:r>
    </w:p>
    <w:p w14:paraId="5ADBC96A" w14:textId="30F2A4B0" w:rsidR="006A3843" w:rsidRPr="005B33A5" w:rsidRDefault="006A3843" w:rsidP="005B33A5">
      <w:r w:rsidRPr="005B33A5">
        <w:t>The Review also noted that while it was clear that the Act anticipates licence-holders</w:t>
      </w:r>
      <w:r w:rsidR="003108DF" w:rsidRPr="005B33A5">
        <w:t xml:space="preserve"> </w:t>
      </w:r>
      <w:r w:rsidRPr="005B33A5">
        <w:t>seeking variations in subsection 72 (5), there is no section that explicitly states that a</w:t>
      </w:r>
      <w:r w:rsidR="003108DF" w:rsidRPr="005B33A5">
        <w:t xml:space="preserve"> </w:t>
      </w:r>
      <w:r w:rsidRPr="005B33A5">
        <w:t>licence-holder can seek a variation.</w:t>
      </w:r>
    </w:p>
    <w:p w14:paraId="3CCADD4C" w14:textId="67A4BD37" w:rsidR="006A3843" w:rsidRPr="003108DF" w:rsidRDefault="006A3843" w:rsidP="005B33A5">
      <w:pPr>
        <w:pStyle w:val="Recommendation"/>
      </w:pPr>
      <w:r w:rsidRPr="003108DF">
        <w:t>Recommendation 5.9: The Review recommends that a 90 working day</w:t>
      </w:r>
      <w:r w:rsidR="003108DF">
        <w:t xml:space="preserve"> </w:t>
      </w:r>
      <w:r w:rsidRPr="003108DF">
        <w:t>statutory time frame be applied to variations for licences and there be</w:t>
      </w:r>
      <w:r w:rsidR="003108DF">
        <w:t xml:space="preserve"> </w:t>
      </w:r>
      <w:r w:rsidRPr="003108DF">
        <w:t>an explicit power to allow a licence-holder to apply for a variation.</w:t>
      </w:r>
    </w:p>
    <w:p w14:paraId="4D9874C4" w14:textId="77777777" w:rsidR="006A3843" w:rsidRPr="005B33A5" w:rsidRDefault="006A3843" w:rsidP="005B33A5">
      <w:pPr>
        <w:pStyle w:val="Recommendation"/>
      </w:pPr>
      <w:r w:rsidRPr="005B33A5">
        <w:t>The restrictions on a variation should be that:</w:t>
      </w:r>
    </w:p>
    <w:p w14:paraId="6CC459F8" w14:textId="5564F938" w:rsidR="006A3843" w:rsidRPr="005B33A5" w:rsidRDefault="005B33A5" w:rsidP="005B33A5">
      <w:pPr>
        <w:pStyle w:val="Recommendation"/>
      </w:pPr>
      <w:r>
        <w:t xml:space="preserve">- </w:t>
      </w:r>
      <w:r w:rsidR="006A3843" w:rsidRPr="005B33A5">
        <w:t xml:space="preserve">a variation cannot turn a DNIR into a </w:t>
      </w:r>
      <w:proofErr w:type="gramStart"/>
      <w:r w:rsidR="006A3843" w:rsidRPr="005B33A5">
        <w:t>DIR;</w:t>
      </w:r>
      <w:proofErr w:type="gramEnd"/>
    </w:p>
    <w:p w14:paraId="43BC65F8" w14:textId="6C856544" w:rsidR="003108DF" w:rsidRPr="005B33A5" w:rsidRDefault="005B33A5" w:rsidP="005B33A5">
      <w:pPr>
        <w:pStyle w:val="Recommendation"/>
      </w:pPr>
      <w:r>
        <w:t xml:space="preserve">- </w:t>
      </w:r>
      <w:r w:rsidR="003108DF" w:rsidRPr="005B33A5">
        <w:t>a variation cannot turn a fi</w:t>
      </w:r>
      <w:r w:rsidR="006A3843" w:rsidRPr="005B33A5">
        <w:t xml:space="preserve">eld trial into a commercial </w:t>
      </w:r>
      <w:proofErr w:type="gramStart"/>
      <w:r w:rsidR="006A3843" w:rsidRPr="005B33A5">
        <w:t>release;</w:t>
      </w:r>
      <w:proofErr w:type="gramEnd"/>
    </w:p>
    <w:p w14:paraId="2DA0C412" w14:textId="2F23B243" w:rsidR="003108DF" w:rsidRPr="005B33A5" w:rsidRDefault="005B33A5" w:rsidP="005B33A5">
      <w:pPr>
        <w:pStyle w:val="Recommendation"/>
      </w:pPr>
      <w:r>
        <w:t xml:space="preserve">- </w:t>
      </w:r>
      <w:r w:rsidR="003108DF" w:rsidRPr="005B33A5">
        <w:t xml:space="preserve">the variation must be able to be assessed under the original </w:t>
      </w:r>
      <w:proofErr w:type="gramStart"/>
      <w:r w:rsidR="003108DF" w:rsidRPr="005B33A5">
        <w:t>RARMP;</w:t>
      </w:r>
      <w:proofErr w:type="gramEnd"/>
    </w:p>
    <w:p w14:paraId="0B8EAC60" w14:textId="30C77FD3" w:rsidR="003108DF" w:rsidRPr="005B33A5" w:rsidRDefault="005B33A5" w:rsidP="005B33A5">
      <w:pPr>
        <w:pStyle w:val="Recommendation"/>
      </w:pPr>
      <w:r>
        <w:t xml:space="preserve">- </w:t>
      </w:r>
      <w:r w:rsidR="003108DF" w:rsidRPr="005B33A5">
        <w:t>for a variation involving a new location of the field trial it can only be approved where the Regulator is satisfied that appropriate local councils have been consulted; and</w:t>
      </w:r>
    </w:p>
    <w:p w14:paraId="7B779D70" w14:textId="5C92E63C" w:rsidR="003108DF" w:rsidRPr="005B33A5" w:rsidRDefault="005B33A5" w:rsidP="005B33A5">
      <w:pPr>
        <w:pStyle w:val="Recommendation"/>
      </w:pPr>
      <w:r>
        <w:t xml:space="preserve">- </w:t>
      </w:r>
      <w:r w:rsidR="003108DF" w:rsidRPr="005B33A5">
        <w:t>the Act should permit the regulations to prescribe other limitations.</w:t>
      </w:r>
    </w:p>
    <w:p w14:paraId="419E1F82" w14:textId="35FBD98C" w:rsidR="003108DF" w:rsidRPr="005B33A5" w:rsidRDefault="003108DF" w:rsidP="005B33A5">
      <w:pPr>
        <w:pStyle w:val="Heading2"/>
      </w:pPr>
      <w:bookmarkStart w:id="57" w:name="_Toc95326291"/>
      <w:proofErr w:type="spellStart"/>
      <w:r w:rsidRPr="005B33A5">
        <w:t>ToR</w:t>
      </w:r>
      <w:proofErr w:type="spellEnd"/>
      <w:r w:rsidRPr="005B33A5">
        <w:t xml:space="preserve"> 5 — Effective and appropriate enforcement of compliance</w:t>
      </w:r>
      <w:bookmarkEnd w:id="57"/>
    </w:p>
    <w:p w14:paraId="6A2B851B" w14:textId="0AB260C8" w:rsidR="003108DF" w:rsidRPr="00B5608F" w:rsidRDefault="003108DF" w:rsidP="00B5608F">
      <w:r w:rsidRPr="003108DF">
        <w:t>During consultations the Regulator set out her approach to enforcement. In deciding</w:t>
      </w:r>
      <w:r>
        <w:t xml:space="preserve"> </w:t>
      </w:r>
      <w:r w:rsidRPr="003108DF">
        <w:t>what action to take in response to a licence breach the Regulator considers a range of</w:t>
      </w:r>
      <w:r>
        <w:t xml:space="preserve"> </w:t>
      </w:r>
      <w:r w:rsidRPr="003108DF">
        <w:t>factors, including the compliance history of the licensee, the need for deterrence and</w:t>
      </w:r>
      <w:r>
        <w:t xml:space="preserve"> </w:t>
      </w:r>
      <w:r w:rsidRPr="003108DF">
        <w:t>whether the breach involves an immediate risk to health and safety of people and</w:t>
      </w:r>
      <w:r>
        <w:t xml:space="preserve"> </w:t>
      </w:r>
      <w:r w:rsidRPr="003108DF">
        <w:t xml:space="preserve">the environment. The </w:t>
      </w:r>
      <w:r w:rsidRPr="003108DF">
        <w:lastRenderedPageBreak/>
        <w:t xml:space="preserve">action that can be taken ranges from prosecution, </w:t>
      </w:r>
      <w:proofErr w:type="gramStart"/>
      <w:r w:rsidRPr="003108DF">
        <w:t>suspension</w:t>
      </w:r>
      <w:proofErr w:type="gramEnd"/>
      <w:r>
        <w:t xml:space="preserve"> </w:t>
      </w:r>
      <w:r w:rsidRPr="003108DF">
        <w:t>or cancellation of the licence, to directions, variation of licence conditions and</w:t>
      </w:r>
      <w:r>
        <w:t xml:space="preserve"> </w:t>
      </w:r>
      <w:r w:rsidRPr="003108DF">
        <w:t>cooperative compliance.</w:t>
      </w:r>
    </w:p>
    <w:p w14:paraId="229E5692" w14:textId="78378D41" w:rsidR="003108DF" w:rsidRPr="00B5608F" w:rsidRDefault="003108DF" w:rsidP="00B5608F">
      <w:r w:rsidRPr="003108DF">
        <w:t>The Act has a range of criminal offences ranging from a $5500 fi ne (where no fault or</w:t>
      </w:r>
      <w:r>
        <w:t xml:space="preserve"> </w:t>
      </w:r>
      <w:r w:rsidRPr="003108DF">
        <w:t>intention needs to be demonstrated) for an individual that breaches the conditions</w:t>
      </w:r>
      <w:r>
        <w:t xml:space="preserve"> </w:t>
      </w:r>
      <w:r w:rsidRPr="003108DF">
        <w:t>relating to a low risk dealing, up to a fi ne of $1.1 million per day for a corporation</w:t>
      </w:r>
      <w:r>
        <w:t xml:space="preserve"> </w:t>
      </w:r>
      <w:r w:rsidRPr="003108DF">
        <w:t xml:space="preserve">that breaches a licence condition in a way </w:t>
      </w:r>
      <w:r>
        <w:t>that is likely to cause signifi</w:t>
      </w:r>
      <w:r w:rsidRPr="003108DF">
        <w:t>cant damage</w:t>
      </w:r>
      <w:r>
        <w:t xml:space="preserve"> </w:t>
      </w:r>
      <w:r w:rsidRPr="003108DF">
        <w:t>and whose action is reckless or malicious.</w:t>
      </w:r>
    </w:p>
    <w:p w14:paraId="2F6BD8E3" w14:textId="0632E416" w:rsidR="003108DF" w:rsidRPr="00B5608F" w:rsidRDefault="003108DF" w:rsidP="00B5608F">
      <w:r w:rsidRPr="00B5608F">
        <w:t>The penalties assigned for various offences were generally supported or received little attention in submissions, although the Review noted that the offence provisions had yet to be tested. However, one submission recommended that the offence provisions be assessed as part of this review, and that they be monitored on an ongoing basis to ensure that they are adequate and effective in ensuring compliance. Additionally, one submission suggested that the penalties were too low. The Review noted that the original penalties were developed in accordance with Commonwealth criminal law policy which stipulates that the value of a Commonwealth penalty unit be periodically reviewed. Consequently, the penalties are subject to indexation.</w:t>
      </w:r>
    </w:p>
    <w:p w14:paraId="576C38A2" w14:textId="6964E200" w:rsidR="003108DF" w:rsidRPr="00B5608F" w:rsidRDefault="003108DF" w:rsidP="00B5608F">
      <w:r w:rsidRPr="00B5608F">
        <w:t>To date the Regulator has decided not to refer any breaches of licences to the Director of Public Prosecutions. Based on the factors set out above, the most stringent action the Regulator has taken has been to vary conditions of licences to require a licence holder to take actions necessary to bring a licence back into compliance, to ensure ongoing compliance, or to ensure ongoing management of risks.</w:t>
      </w:r>
    </w:p>
    <w:p w14:paraId="6DC57338" w14:textId="77777777" w:rsidR="003108DF" w:rsidRPr="00B5608F" w:rsidRDefault="003108DF" w:rsidP="00B5608F">
      <w:r w:rsidRPr="00B5608F">
        <w:t>In submissions, groups concerned about gene technology have suggested that cooperative compliance fails to create an effective deterrent. These views were reiterated during stakeholder meetings where some groups suggested that offence provisions need to be used to provide a deterrent against non-compliance.</w:t>
      </w:r>
    </w:p>
    <w:p w14:paraId="4AE2196A" w14:textId="77777777" w:rsidR="00BF6547" w:rsidRPr="00B5608F" w:rsidRDefault="003108DF" w:rsidP="00B5608F">
      <w:r w:rsidRPr="00B5608F">
        <w:t xml:space="preserve">For example, one participant was concerned that even though there were </w:t>
      </w:r>
      <w:proofErr w:type="gramStart"/>
      <w:r w:rsidRPr="00B5608F">
        <w:t>a number of</w:t>
      </w:r>
      <w:proofErr w:type="gramEnd"/>
      <w:r w:rsidR="00D97DA9" w:rsidRPr="00B5608F">
        <w:t xml:space="preserve"> </w:t>
      </w:r>
      <w:r w:rsidRPr="00B5608F">
        <w:t>breaches of licences there had been no prosecutions.</w:t>
      </w:r>
    </w:p>
    <w:p w14:paraId="1675E021" w14:textId="77777777" w:rsidR="00D97DA9" w:rsidRDefault="00D97DA9" w:rsidP="00B5608F">
      <w:r w:rsidRPr="00D97DA9">
        <w:t>On the other hand, industry generally supported the Regulator’s approach to</w:t>
      </w:r>
      <w:r>
        <w:t xml:space="preserve"> </w:t>
      </w:r>
      <w:r w:rsidRPr="00D97DA9">
        <w:t>compliance. At stakeholder meetings many industry groups highlighted the good</w:t>
      </w:r>
      <w:r>
        <w:t xml:space="preserve"> </w:t>
      </w:r>
      <w:r w:rsidRPr="00D97DA9">
        <w:t>relationship with the Regulator allowing them to work together to develop better</w:t>
      </w:r>
      <w:r>
        <w:t xml:space="preserve"> </w:t>
      </w:r>
      <w:r w:rsidRPr="00D97DA9">
        <w:t>practices, risk management plans and crop management plans. However, some</w:t>
      </w:r>
      <w:r>
        <w:t xml:space="preserve"> </w:t>
      </w:r>
      <w:r w:rsidRPr="00D97DA9">
        <w:t>industry stakeholders wanted more clarity on instances and type of remedial actions</w:t>
      </w:r>
      <w:r>
        <w:t xml:space="preserve"> </w:t>
      </w:r>
      <w:r w:rsidRPr="00D97DA9">
        <w:t>that may be required by the Regulator.</w:t>
      </w:r>
    </w:p>
    <w:p w14:paraId="593FE8E6" w14:textId="5E3F1B2D" w:rsidR="00D97DA9" w:rsidRPr="00B5608F" w:rsidRDefault="00D97DA9" w:rsidP="00B5608F">
      <w:r w:rsidRPr="00B5608F">
        <w:t>The Review considers that the Regulator’s model of compliance which includes cooperative compliance has been very helpful in educating a previously unregulated industry.</w:t>
      </w:r>
    </w:p>
    <w:p w14:paraId="03D6ADA1" w14:textId="36026CE2" w:rsidR="00D97DA9" w:rsidRPr="00B5608F" w:rsidRDefault="00D97DA9" w:rsidP="00B5608F">
      <w:r w:rsidRPr="00B5608F">
        <w:t>The Review concluded that the enforcement approach of the Regulator is appropriate and noted the Regulator is currently revising her enforcement protocol document which should assist the Regulator in explaining the basis of enforcement decisions. While the Review supports the model of compliance used by the Regulator, it investigated additional tools for ensuring compliance.</w:t>
      </w:r>
    </w:p>
    <w:p w14:paraId="5DCFA672" w14:textId="1617E449" w:rsidR="00D97DA9" w:rsidRPr="00B5608F" w:rsidRDefault="00D97DA9" w:rsidP="00B5608F">
      <w:r w:rsidRPr="00B5608F">
        <w:t>In stakeholder consultations one organisation suggested there were not enough tools for the Regulator to use to ensure compliance.</w:t>
      </w:r>
    </w:p>
    <w:p w14:paraId="02313CA8" w14:textId="2D9D7141" w:rsidR="00D97DA9" w:rsidRPr="00B5608F" w:rsidRDefault="00D97DA9" w:rsidP="00B5608F">
      <w:r w:rsidRPr="00B5608F">
        <w:t>Currently the Regulator has powers under section 146 of the Act to give directions to a licence-holder or person covered by a licence if she believes on reasonable grounds, that:</w:t>
      </w:r>
    </w:p>
    <w:p w14:paraId="35F0B952" w14:textId="77777777" w:rsidR="00D97DA9" w:rsidRPr="00B5608F" w:rsidRDefault="00D97DA9" w:rsidP="009F018E">
      <w:pPr>
        <w:pStyle w:val="ListParagraph"/>
        <w:numPr>
          <w:ilvl w:val="0"/>
          <w:numId w:val="11"/>
        </w:numPr>
      </w:pPr>
      <w:r w:rsidRPr="00B5608F">
        <w:lastRenderedPageBreak/>
        <w:t>a licence holder is not complying with this Act or the regulations in respect of a thing; and</w:t>
      </w:r>
    </w:p>
    <w:p w14:paraId="6F0252C9" w14:textId="0C0E8EF4" w:rsidR="00D97DA9" w:rsidRPr="00B5608F" w:rsidRDefault="00D97DA9" w:rsidP="009F018E">
      <w:pPr>
        <w:pStyle w:val="ListParagraph"/>
        <w:numPr>
          <w:ilvl w:val="0"/>
          <w:numId w:val="11"/>
        </w:numPr>
      </w:pPr>
      <w:r w:rsidRPr="00B5608F">
        <w:t xml:space="preserve">it is necessary to exercises powers under this section </w:t>
      </w:r>
      <w:proofErr w:type="gramStart"/>
      <w:r w:rsidRPr="00B5608F">
        <w:t>in order to</w:t>
      </w:r>
      <w:proofErr w:type="gramEnd"/>
      <w:r w:rsidRPr="00B5608F">
        <w:t xml:space="preserve"> protect the environment</w:t>
      </w:r>
    </w:p>
    <w:p w14:paraId="472ECB40" w14:textId="2E0F6082" w:rsidR="00D97DA9" w:rsidRPr="00B5608F" w:rsidRDefault="00D97DA9" w:rsidP="00B5608F">
      <w:r w:rsidRPr="00B5608F">
        <w:t xml:space="preserve">However, in her submission the Regulator noted that if she assesses a breach of a licence not to be an immediate risk to the health and safety of people or the environment then </w:t>
      </w:r>
      <w:proofErr w:type="gramStart"/>
      <w:r w:rsidRPr="00B5608F">
        <w:t>arguably</w:t>
      </w:r>
      <w:proofErr w:type="gramEnd"/>
      <w:r w:rsidRPr="00B5608F">
        <w:t xml:space="preserve"> she cannot direct licence-holders to comply with the licence. The Review heard that situations have occurred when a licence-holder has planted a crop in a post-harvest GMO location before permission from the Regulator has been sought. In these </w:t>
      </w:r>
      <w:proofErr w:type="gramStart"/>
      <w:r w:rsidRPr="00B5608F">
        <w:t>cases</w:t>
      </w:r>
      <w:proofErr w:type="gramEnd"/>
      <w:r w:rsidRPr="00B5608F">
        <w:t xml:space="preserve"> the licence-holder has always acted cooperatively to protect the health and safety of people and the environment, in accordance with the Regulator’s requirements.</w:t>
      </w:r>
    </w:p>
    <w:p w14:paraId="6938352F" w14:textId="77777777" w:rsidR="00D97DA9" w:rsidRPr="00B5608F" w:rsidRDefault="00D97DA9" w:rsidP="00B5608F">
      <w:r w:rsidRPr="00B5608F">
        <w:t xml:space="preserve">The Review considers that even if there is not an immediate risk to health and safety of people or the environment it is important to maintain the integrity of licences. The Review believes that the Regulator should be able to direct a licence-holder if it is not complying with the licence, the Act and/or the Regulations, irrespective of if there is an immediate risk to health and safety of people or the environment. This would ensure that all breaches of the licence could be dealt with, increase the Regulator’s compliance </w:t>
      </w:r>
      <w:proofErr w:type="gramStart"/>
      <w:r w:rsidRPr="00B5608F">
        <w:t>tools</w:t>
      </w:r>
      <w:proofErr w:type="gramEnd"/>
      <w:r w:rsidRPr="00B5608F">
        <w:t xml:space="preserve"> and ensure the integrity of the Regulator’s licences.</w:t>
      </w:r>
    </w:p>
    <w:p w14:paraId="0D506A80" w14:textId="77777777" w:rsidR="00D97DA9" w:rsidRPr="00B5608F" w:rsidRDefault="00D97DA9" w:rsidP="00B5608F">
      <w:pPr>
        <w:pStyle w:val="Recommendation"/>
      </w:pPr>
      <w:r w:rsidRPr="00B5608F">
        <w:t>Recommendation 5.10: The Review recommends that the Act be amended so that the Regulator has the power to direct a licence-holder, or a person covered by a licence, if she believes they are not complying with the Act or the Regulations to take reasonable steps to comply with the Act or Regulations.</w:t>
      </w:r>
    </w:p>
    <w:p w14:paraId="1BA60792" w14:textId="1EF62ACE" w:rsidR="00D97DA9" w:rsidRPr="00B5608F" w:rsidRDefault="00D97DA9" w:rsidP="00B5608F">
      <w:pPr>
        <w:pStyle w:val="Heading2"/>
      </w:pPr>
      <w:bookmarkStart w:id="58" w:name="_Toc95326292"/>
      <w:r w:rsidRPr="00D97DA9">
        <w:t>Unintended presence</w:t>
      </w:r>
      <w:bookmarkEnd w:id="58"/>
    </w:p>
    <w:p w14:paraId="4B7D23EF" w14:textId="64D4D090" w:rsidR="00D97DA9" w:rsidRPr="00B5608F" w:rsidRDefault="00D97DA9" w:rsidP="00B5608F">
      <w:r w:rsidRPr="00B5608F">
        <w:t>During consultations, concern was expressed that a person who unintentionally has an unapproved GMO on their property is unable to dispose of the GMO without breaching the Act. The Regulator can use offence provisions or injunctions to deal with unapproved dealing with a GMO. However, these tools are not suited to this case if the person wishes to act cooperatively and to dispose of the GMO in accordance with the Regulator’s requirements to protect health and safety of people and the environment.</w:t>
      </w:r>
    </w:p>
    <w:p w14:paraId="1AD874FF" w14:textId="53521933" w:rsidR="00D97DA9" w:rsidRPr="00B5608F" w:rsidRDefault="00D97DA9" w:rsidP="00B5608F">
      <w:r w:rsidRPr="00B5608F">
        <w:t xml:space="preserve">This could be addressed by way of directions by the Regulator or the granting of a special permit for the limited purpose of disposal. Currently the Regulator only </w:t>
      </w:r>
      <w:proofErr w:type="gramStart"/>
      <w:r w:rsidRPr="00B5608F">
        <w:t>has the ability to</w:t>
      </w:r>
      <w:proofErr w:type="gramEnd"/>
      <w:r w:rsidRPr="00B5608F">
        <w:t xml:space="preserve"> direct licence-holders.</w:t>
      </w:r>
    </w:p>
    <w:p w14:paraId="7D0D270F" w14:textId="0F9DA128" w:rsidR="00D97DA9" w:rsidRPr="00B5608F" w:rsidRDefault="00D97DA9" w:rsidP="00B5608F">
      <w:r w:rsidRPr="00B5608F">
        <w:t xml:space="preserve">The Review considers in cases where unlicensed GMOs are being grown inadvertently there should be a mechanism to aid cooperative compliance. It concludes that </w:t>
      </w:r>
      <w:r w:rsidR="000F33EF" w:rsidRPr="00B5608F">
        <w:t>growers (or others who fi</w:t>
      </w:r>
      <w:r w:rsidRPr="00B5608F">
        <w:t>nd themselves inadvertently dealing with an unlicensed GMO) should be able to apply to the Regulator for a special temporary permit to allow disposal of the GMO. The Regulator could issue the permit with terms and conditions</w:t>
      </w:r>
      <w:r w:rsidR="000F33EF" w:rsidRPr="00B5608F">
        <w:t xml:space="preserve"> </w:t>
      </w:r>
      <w:r w:rsidRPr="00B5608F">
        <w:t xml:space="preserve">requiring the </w:t>
      </w:r>
      <w:r w:rsidR="000F33EF" w:rsidRPr="00B5608F">
        <w:t>permittee</w:t>
      </w:r>
      <w:r w:rsidRPr="00B5608F">
        <w:t xml:space="preserve"> to deal with the GMO in such a way as she considers will</w:t>
      </w:r>
      <w:r w:rsidR="000F33EF" w:rsidRPr="00B5608F">
        <w:t xml:space="preserve"> </w:t>
      </w:r>
      <w:r w:rsidRPr="00B5608F">
        <w:t>protect health and safety of people and the</w:t>
      </w:r>
      <w:r w:rsidR="000F33EF" w:rsidRPr="00B5608F">
        <w:t xml:space="preserve"> </w:t>
      </w:r>
      <w:r w:rsidRPr="00B5608F">
        <w:t>environment.</w:t>
      </w:r>
    </w:p>
    <w:p w14:paraId="7CA07523" w14:textId="77777777" w:rsidR="00D97DA9" w:rsidRDefault="00D97DA9" w:rsidP="00B5608F">
      <w:pPr>
        <w:pStyle w:val="Recommendation"/>
      </w:pPr>
      <w:r w:rsidRPr="00B5608F">
        <w:t>Recommendation</w:t>
      </w:r>
      <w:r w:rsidRPr="000F33EF">
        <w:t xml:space="preserve"> 5.11: The Review recommends amending the Act to</w:t>
      </w:r>
      <w:r w:rsidR="000F33EF">
        <w:t xml:space="preserve"> </w:t>
      </w:r>
      <w:r w:rsidRPr="000F33EF">
        <w:t>allow the Regulator to grant a temporary permit to persons who find</w:t>
      </w:r>
      <w:r w:rsidR="000F33EF">
        <w:t xml:space="preserve"> </w:t>
      </w:r>
      <w:r w:rsidRPr="000F33EF">
        <w:t>themselves inadvertently dealing with an unlicensed GMO for the</w:t>
      </w:r>
      <w:r w:rsidR="000F33EF">
        <w:t xml:space="preserve"> </w:t>
      </w:r>
      <w:r w:rsidRPr="000F33EF">
        <w:t>purpose of disposing of the GMO in a manner which protects health</w:t>
      </w:r>
      <w:r w:rsidR="000F33EF">
        <w:t xml:space="preserve"> </w:t>
      </w:r>
      <w:r w:rsidRPr="000F33EF">
        <w:t>and safety of people and the environment.</w:t>
      </w:r>
    </w:p>
    <w:p w14:paraId="104BEF04" w14:textId="09C26BB8" w:rsidR="000F33EF" w:rsidRPr="00B5608F" w:rsidRDefault="00D34D0C" w:rsidP="00B5608F">
      <w:pPr>
        <w:pStyle w:val="Heading1"/>
      </w:pPr>
      <w:bookmarkStart w:id="59" w:name="_Toc95326293"/>
      <w:r>
        <w:lastRenderedPageBreak/>
        <w:t xml:space="preserve">Chapter 6: </w:t>
      </w:r>
      <w:r w:rsidR="000F33EF" w:rsidRPr="00B5608F">
        <w:t>REGULATORY BURDEN</w:t>
      </w:r>
      <w:bookmarkEnd w:id="59"/>
    </w:p>
    <w:p w14:paraId="4FE1AE89" w14:textId="77777777" w:rsidR="00B5608F" w:rsidRPr="00E7313A" w:rsidRDefault="00B5608F" w:rsidP="00E7313A">
      <w:pPr>
        <w:shd w:val="clear" w:color="auto" w:fill="E2EFD9" w:themeFill="accent6" w:themeFillTint="33"/>
        <w:rPr>
          <w:b/>
          <w:bCs/>
        </w:rPr>
      </w:pPr>
      <w:r w:rsidRPr="00E7313A">
        <w:rPr>
          <w:b/>
          <w:bCs/>
        </w:rPr>
        <w:t>Term of reference 6:</w:t>
      </w:r>
    </w:p>
    <w:p w14:paraId="1FF19CDB" w14:textId="77777777" w:rsidR="00B5608F" w:rsidRPr="00B5608F" w:rsidRDefault="00B5608F" w:rsidP="00B5608F">
      <w:pPr>
        <w:shd w:val="clear" w:color="auto" w:fill="E2EFD9" w:themeFill="accent6" w:themeFillTint="33"/>
      </w:pPr>
      <w:r w:rsidRPr="00B5608F">
        <w:t>Examine whether compliance and administrative costs, including information requirements, for organisations working in gene technology are reasonable and justified compared to benefits achieved and possible alternatives to legislation.</w:t>
      </w:r>
    </w:p>
    <w:p w14:paraId="131B444B" w14:textId="77777777" w:rsidR="00B5608F" w:rsidRPr="00E7313A" w:rsidRDefault="00B5608F" w:rsidP="00E7313A">
      <w:pPr>
        <w:shd w:val="clear" w:color="auto" w:fill="E2EFD9" w:themeFill="accent6" w:themeFillTint="33"/>
        <w:rPr>
          <w:b/>
          <w:bCs/>
        </w:rPr>
      </w:pPr>
      <w:r w:rsidRPr="00E7313A">
        <w:rPr>
          <w:b/>
          <w:bCs/>
        </w:rPr>
        <w:t>Term of reference 7:</w:t>
      </w:r>
    </w:p>
    <w:p w14:paraId="1817B6B5" w14:textId="77777777" w:rsidR="00B5608F" w:rsidRPr="00B5608F" w:rsidRDefault="00B5608F" w:rsidP="00B5608F">
      <w:pPr>
        <w:shd w:val="clear" w:color="auto" w:fill="E2EFD9" w:themeFill="accent6" w:themeFillTint="33"/>
      </w:pPr>
      <w:r w:rsidRPr="00B5608F">
        <w:t>Review the system of approvals and the application of regulatory requirements commensurate to the level of risk.</w:t>
      </w:r>
    </w:p>
    <w:p w14:paraId="76900A66" w14:textId="05CA348C" w:rsidR="000F33EF" w:rsidRPr="00B5608F" w:rsidRDefault="000F33EF" w:rsidP="00B5608F">
      <w:pPr>
        <w:pStyle w:val="Heading2"/>
      </w:pPr>
      <w:bookmarkStart w:id="60" w:name="_Toc95326294"/>
      <w:r w:rsidRPr="00B5608F">
        <w:t>Current system of approvals</w:t>
      </w:r>
      <w:bookmarkEnd w:id="60"/>
    </w:p>
    <w:p w14:paraId="0EEBD83B" w14:textId="394E87EC" w:rsidR="000F33EF" w:rsidRPr="000F33EF" w:rsidRDefault="000F33EF" w:rsidP="00B5608F">
      <w:r w:rsidRPr="000F33EF">
        <w:t xml:space="preserve">The </w:t>
      </w:r>
      <w:r w:rsidRPr="00B5608F">
        <w:t>scheme</w:t>
      </w:r>
      <w:r w:rsidRPr="000F33EF">
        <w:t xml:space="preserve"> of the Act prohibits dealings with GMOs unless the required approval</w:t>
      </w:r>
      <w:r>
        <w:t xml:space="preserve"> </w:t>
      </w:r>
      <w:r w:rsidRPr="000F33EF">
        <w:t>has been obtained from the Regulator. An organisation must be accredited by the</w:t>
      </w:r>
      <w:r>
        <w:t xml:space="preserve"> </w:t>
      </w:r>
      <w:r w:rsidRPr="000F33EF">
        <w:t>Regulator to deal with GMOs which come under one of the following four categories</w:t>
      </w:r>
      <w:r>
        <w:t xml:space="preserve"> </w:t>
      </w:r>
      <w:r w:rsidRPr="000F33EF">
        <w:t>of dealings. In</w:t>
      </w:r>
      <w:r>
        <w:t xml:space="preserve"> </w:t>
      </w:r>
      <w:r w:rsidRPr="000F33EF">
        <w:t>descending order of risk these categories are:</w:t>
      </w:r>
    </w:p>
    <w:p w14:paraId="08D2F593" w14:textId="77777777" w:rsidR="000F33EF" w:rsidRPr="00B5608F" w:rsidRDefault="000F33EF" w:rsidP="009F018E">
      <w:pPr>
        <w:pStyle w:val="ListParagraph"/>
        <w:numPr>
          <w:ilvl w:val="0"/>
          <w:numId w:val="12"/>
        </w:numPr>
      </w:pPr>
      <w:r w:rsidRPr="00B5608F">
        <w:t>Licensed dealings that will be released into the environment</w:t>
      </w:r>
    </w:p>
    <w:p w14:paraId="2023CD57" w14:textId="77777777" w:rsidR="000F33EF" w:rsidRPr="00B5608F" w:rsidRDefault="000F33EF" w:rsidP="009F018E">
      <w:pPr>
        <w:pStyle w:val="ListParagraph"/>
        <w:numPr>
          <w:ilvl w:val="0"/>
          <w:numId w:val="12"/>
        </w:numPr>
      </w:pPr>
      <w:r w:rsidRPr="00B5608F">
        <w:t>Licensed dealings that are kept contained in certified facilities</w:t>
      </w:r>
    </w:p>
    <w:p w14:paraId="18893A48" w14:textId="77777777" w:rsidR="000F33EF" w:rsidRPr="00B5608F" w:rsidRDefault="000F33EF" w:rsidP="009F018E">
      <w:pPr>
        <w:pStyle w:val="ListParagraph"/>
        <w:numPr>
          <w:ilvl w:val="0"/>
          <w:numId w:val="12"/>
        </w:numPr>
      </w:pPr>
      <w:r w:rsidRPr="00B5608F">
        <w:t>NLRD that are kept contained in certified facilities</w:t>
      </w:r>
    </w:p>
    <w:p w14:paraId="638D8E0F" w14:textId="14C130E5" w:rsidR="000F33EF" w:rsidRPr="00B5608F" w:rsidRDefault="000F33EF" w:rsidP="009F018E">
      <w:pPr>
        <w:pStyle w:val="ListParagraph"/>
        <w:numPr>
          <w:ilvl w:val="0"/>
          <w:numId w:val="12"/>
        </w:numPr>
      </w:pPr>
      <w:r w:rsidRPr="00B5608F">
        <w:t>Exempt Dealings that are kept contained in physical containment 1 (PC1) facilities.</w:t>
      </w:r>
    </w:p>
    <w:p w14:paraId="488FAE3D" w14:textId="527D7198" w:rsidR="000F33EF" w:rsidRPr="00B5608F" w:rsidRDefault="000F33EF" w:rsidP="00B5608F">
      <w:r w:rsidRPr="00B5608F">
        <w:t>In addition, there is a GMO register for GMOs that have been licensed and for which there is sufficient information to determine that the dealing can be undertaken without the requirement for a licence to be held by a named person or organisation.</w:t>
      </w:r>
    </w:p>
    <w:p w14:paraId="4B1C3D5D" w14:textId="77777777" w:rsidR="000F33EF" w:rsidRPr="00B5608F" w:rsidRDefault="000F33EF" w:rsidP="00B5608F">
      <w:r w:rsidRPr="00B5608F">
        <w:t>In describing the different categories of risk, the intention of the regulatory system is to direct most effort towards the higher risk categories. Applicants must provide more detailed information for the licensed dealings than for the NLRDs and the only information required for exempt dealings is to report on them in the accredited organisation’s annual report to the Regulator. The approval processes for the various categories of dealings are described in more detail in Appendix 4.</w:t>
      </w:r>
    </w:p>
    <w:p w14:paraId="45BF1535" w14:textId="77777777" w:rsidR="000F33EF" w:rsidRPr="00B5608F" w:rsidRDefault="000F33EF" w:rsidP="00B5608F">
      <w:pPr>
        <w:rPr>
          <w:b/>
          <w:bCs/>
        </w:rPr>
      </w:pPr>
      <w:r w:rsidRPr="00B5608F">
        <w:rPr>
          <w:b/>
          <w:bCs/>
        </w:rPr>
        <w:t>Figure 1: Increasing risk and regulatory scrutiny</w:t>
      </w:r>
    </w:p>
    <w:p w14:paraId="07CFEBD3" w14:textId="77777777" w:rsidR="000F33EF" w:rsidRDefault="000F33EF" w:rsidP="00D97DA9">
      <w:pPr>
        <w:autoSpaceDE w:val="0"/>
        <w:autoSpaceDN w:val="0"/>
        <w:adjustRightInd w:val="0"/>
        <w:spacing w:after="0" w:line="240" w:lineRule="auto"/>
        <w:rPr>
          <w:rFonts w:asciiTheme="minorHAnsi" w:hAnsiTheme="minorHAnsi" w:cstheme="minorHAnsi"/>
        </w:rPr>
      </w:pPr>
      <w:r>
        <w:rPr>
          <w:noProof/>
          <w:lang w:eastAsia="en-AU"/>
        </w:rPr>
        <w:drawing>
          <wp:inline distT="0" distB="0" distL="0" distR="0" wp14:anchorId="4C67EE61" wp14:editId="3067963A">
            <wp:extent cx="5731510" cy="1451610"/>
            <wp:effectExtent l="0" t="0" r="2540" b="0"/>
            <wp:docPr id="1" name="Picture 1" descr="This figure shows that the level of scrutiny increases as you move from Exempt dealings to Notifiable low risk dealings to Dealings involving either intentional or unintentional rele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figure shows that the level of scrutiny increases as you move from Exempt dealings to Notifiable low risk dealings to Dealings involving either intentional or unintentional release. "/>
                    <pic:cNvPicPr/>
                  </pic:nvPicPr>
                  <pic:blipFill>
                    <a:blip r:embed="rId14"/>
                    <a:stretch>
                      <a:fillRect/>
                    </a:stretch>
                  </pic:blipFill>
                  <pic:spPr>
                    <a:xfrm>
                      <a:off x="0" y="0"/>
                      <a:ext cx="5731510" cy="1451610"/>
                    </a:xfrm>
                    <a:prstGeom prst="rect">
                      <a:avLst/>
                    </a:prstGeom>
                  </pic:spPr>
                </pic:pic>
              </a:graphicData>
            </a:graphic>
          </wp:inline>
        </w:drawing>
      </w:r>
    </w:p>
    <w:p w14:paraId="08F5EF8E" w14:textId="10FAF522" w:rsidR="00C23CC2" w:rsidRPr="00B5608F" w:rsidRDefault="00C23CC2" w:rsidP="00B5608F">
      <w:pPr>
        <w:pStyle w:val="Heading2"/>
      </w:pPr>
      <w:bookmarkStart w:id="61" w:name="_Toc95326295"/>
      <w:r w:rsidRPr="00C23CC2">
        <w:lastRenderedPageBreak/>
        <w:t>Background on regulatory burden and administrative burden</w:t>
      </w:r>
      <w:bookmarkEnd w:id="61"/>
    </w:p>
    <w:p w14:paraId="5DF3E0CB" w14:textId="64621AE9" w:rsidR="00C23CC2" w:rsidRPr="00C23CC2" w:rsidRDefault="00C23CC2" w:rsidP="00B5608F">
      <w:pPr>
        <w:keepNext/>
        <w:keepLines/>
      </w:pPr>
      <w:r w:rsidRPr="00C23CC2">
        <w:t>The OECD</w:t>
      </w:r>
      <w:r w:rsidR="00B5608F">
        <w:rPr>
          <w:rStyle w:val="FootnoteReference"/>
        </w:rPr>
        <w:footnoteReference w:id="6"/>
      </w:r>
      <w:r w:rsidRPr="00C23CC2">
        <w:t xml:space="preserve"> notes that </w:t>
      </w:r>
      <w:r w:rsidRPr="00B5608F">
        <w:t>Governments</w:t>
      </w:r>
      <w:r w:rsidRPr="00C23CC2">
        <w:t xml:space="preserve"> require businesses and private individuals to</w:t>
      </w:r>
      <w:r>
        <w:t xml:space="preserve"> </w:t>
      </w:r>
      <w:r w:rsidRPr="00C23CC2">
        <w:t>carry out or avoid certain actions or conduct (content obligations). Governments</w:t>
      </w:r>
      <w:r>
        <w:t xml:space="preserve"> </w:t>
      </w:r>
      <w:r w:rsidRPr="00C23CC2">
        <w:t>also require the provision of information on actions and conduct (information</w:t>
      </w:r>
      <w:r>
        <w:t xml:space="preserve"> </w:t>
      </w:r>
      <w:r w:rsidRPr="00C23CC2">
        <w:t>obligations). Both types of obligations can involve costs.</w:t>
      </w:r>
    </w:p>
    <w:p w14:paraId="7003AD26" w14:textId="77777777" w:rsidR="00C23CC2" w:rsidRPr="00B5608F" w:rsidRDefault="00C23CC2" w:rsidP="00B5608F">
      <w:r w:rsidRPr="00B5608F">
        <w:rPr>
          <w:b/>
          <w:bCs/>
        </w:rPr>
        <w:t>Administrative burdens</w:t>
      </w:r>
      <w:r w:rsidRPr="00B5608F">
        <w:t xml:space="preserve"> are the costs imposed when complying with </w:t>
      </w:r>
      <w:r w:rsidRPr="00B5608F">
        <w:rPr>
          <w:b/>
          <w:bCs/>
        </w:rPr>
        <w:t>information obligations</w:t>
      </w:r>
      <w:r w:rsidRPr="00B5608F">
        <w:t xml:space="preserve"> stemming from government regulation.</w:t>
      </w:r>
    </w:p>
    <w:p w14:paraId="74A314AD" w14:textId="77777777" w:rsidR="00C23CC2" w:rsidRPr="00B5608F" w:rsidRDefault="00C23CC2" w:rsidP="00B5608F">
      <w:r w:rsidRPr="00B5608F">
        <w:t xml:space="preserve">Regulatory burden is harder to define but for the purposes of this paper, </w:t>
      </w:r>
      <w:r w:rsidRPr="00B5608F">
        <w:rPr>
          <w:b/>
          <w:bCs/>
        </w:rPr>
        <w:t>regulatory burdens</w:t>
      </w:r>
      <w:r w:rsidRPr="00B5608F">
        <w:t xml:space="preserve"> are the costs imposed when complying with both </w:t>
      </w:r>
      <w:r w:rsidRPr="00B5608F">
        <w:rPr>
          <w:b/>
          <w:bCs/>
        </w:rPr>
        <w:t>content obligations and information obligations</w:t>
      </w:r>
      <w:r w:rsidRPr="00B5608F">
        <w:t xml:space="preserve"> stemming from government regulation.</w:t>
      </w:r>
    </w:p>
    <w:p w14:paraId="139D7BE6" w14:textId="1BA6DC35" w:rsidR="00B5608F" w:rsidRDefault="00C23CC2" w:rsidP="00B5608F">
      <w:pPr>
        <w:pStyle w:val="Heading3"/>
      </w:pPr>
      <w:r w:rsidRPr="001B06A6">
        <w:t>The costs of regulatory burden</w:t>
      </w:r>
    </w:p>
    <w:p w14:paraId="24693A78" w14:textId="2B3B0E39" w:rsidR="00C23CC2" w:rsidRPr="00B5608F" w:rsidRDefault="00C23CC2" w:rsidP="00B5608F">
      <w:r w:rsidRPr="00B5608F">
        <w:t>The costs of regulatory burden can include:</w:t>
      </w:r>
    </w:p>
    <w:p w14:paraId="73F4DE5D" w14:textId="0C27F4F5" w:rsidR="00C23CC2" w:rsidRPr="00B5608F" w:rsidRDefault="00C23CC2" w:rsidP="009F018E">
      <w:pPr>
        <w:pStyle w:val="ListParagraph"/>
        <w:numPr>
          <w:ilvl w:val="0"/>
          <w:numId w:val="13"/>
        </w:numPr>
      </w:pPr>
      <w:r w:rsidRPr="00B5608F">
        <w:t>the direct costs of content obligations such as the need for additional staffing,</w:t>
      </w:r>
      <w:r w:rsidR="001B06A6" w:rsidRPr="00B5608F">
        <w:t xml:space="preserve"> </w:t>
      </w:r>
      <w:r w:rsidRPr="00B5608F">
        <w:t>the purchase of new equipment, structural changes to buildings, legal and</w:t>
      </w:r>
      <w:r w:rsidR="001B06A6" w:rsidRPr="00B5608F">
        <w:t xml:space="preserve"> </w:t>
      </w:r>
      <w:r w:rsidRPr="00B5608F">
        <w:t xml:space="preserve">other external advice, travel and the introduction of staff training </w:t>
      </w:r>
      <w:proofErr w:type="gramStart"/>
      <w:r w:rsidRPr="00B5608F">
        <w:t>programs;</w:t>
      </w:r>
      <w:proofErr w:type="gramEnd"/>
    </w:p>
    <w:p w14:paraId="67842954" w14:textId="2AC383A8" w:rsidR="001B06A6" w:rsidRPr="00F15FE3" w:rsidRDefault="00C23CC2" w:rsidP="009F018E">
      <w:pPr>
        <w:pStyle w:val="ListParagraph"/>
        <w:numPr>
          <w:ilvl w:val="0"/>
          <w:numId w:val="13"/>
        </w:numPr>
      </w:pPr>
      <w:r w:rsidRPr="00B5608F">
        <w:t>the indirect costs of content obligations such as opportunity costs when</w:t>
      </w:r>
      <w:r w:rsidR="001B06A6" w:rsidRPr="00B5608F">
        <w:t xml:space="preserve"> </w:t>
      </w:r>
      <w:r w:rsidRPr="00B5608F">
        <w:t>organisations opt to do their business in other countries or using other</w:t>
      </w:r>
      <w:r w:rsidR="001B06A6" w:rsidRPr="00B5608F">
        <w:t xml:space="preserve"> </w:t>
      </w:r>
      <w:r w:rsidRPr="00B5608F">
        <w:t xml:space="preserve">technologies that are not subject to </w:t>
      </w:r>
      <w:proofErr w:type="gramStart"/>
      <w:r w:rsidRPr="00B5608F">
        <w:t>regulation;</w:t>
      </w:r>
      <w:proofErr w:type="gramEnd"/>
    </w:p>
    <w:p w14:paraId="3EAE369A" w14:textId="77777777" w:rsidR="00F15FE3" w:rsidRPr="00F15FE3" w:rsidRDefault="00F15FE3" w:rsidP="00F15FE3">
      <w:pPr>
        <w:shd w:val="clear" w:color="auto" w:fill="E2EFD9" w:themeFill="accent6" w:themeFillTint="33"/>
        <w:jc w:val="center"/>
        <w:rPr>
          <w:b/>
          <w:bCs/>
        </w:rPr>
      </w:pPr>
      <w:r w:rsidRPr="00F15FE3">
        <w:rPr>
          <w:b/>
          <w:bCs/>
        </w:rPr>
        <w:t>Case study:</w:t>
      </w:r>
    </w:p>
    <w:p w14:paraId="3C718DF5" w14:textId="17DC63C3" w:rsidR="00F15FE3" w:rsidRPr="00F15FE3" w:rsidRDefault="00F15FE3" w:rsidP="00F15FE3">
      <w:pPr>
        <w:shd w:val="clear" w:color="auto" w:fill="E2EFD9" w:themeFill="accent6" w:themeFillTint="33"/>
        <w:jc w:val="center"/>
        <w:rPr>
          <w:b/>
          <w:bCs/>
        </w:rPr>
      </w:pPr>
      <w:r w:rsidRPr="00F15FE3">
        <w:rPr>
          <w:b/>
          <w:bCs/>
        </w:rPr>
        <w:t>Content obligations in the gene technology regulatory system</w:t>
      </w:r>
    </w:p>
    <w:p w14:paraId="6B5FCBF0" w14:textId="7CEBF166" w:rsidR="00F15FE3" w:rsidRPr="00F15FE3" w:rsidRDefault="00F15FE3" w:rsidP="00F15FE3">
      <w:pPr>
        <w:shd w:val="clear" w:color="auto" w:fill="E2EFD9" w:themeFill="accent6" w:themeFillTint="33"/>
      </w:pPr>
      <w:r w:rsidRPr="00F15FE3">
        <w:t>The Regulator requires contained work involving GMOs to be done in physical containment facilities that are certified for the purpose and therefore must meet certain containment requirements.</w:t>
      </w:r>
    </w:p>
    <w:p w14:paraId="551FB185" w14:textId="0298D3CA" w:rsidR="00F15FE3" w:rsidRPr="00F15FE3" w:rsidRDefault="00F15FE3" w:rsidP="00F15FE3">
      <w:pPr>
        <w:shd w:val="clear" w:color="auto" w:fill="E2EFD9" w:themeFill="accent6" w:themeFillTint="33"/>
      </w:pPr>
      <w:r w:rsidRPr="00F15FE3">
        <w:t>The Regulator requires licence-holders who conduct field trials of GM crops to notify the proposed sites as GPS coordinates — this requires the use of a global positioning system unit.</w:t>
      </w:r>
    </w:p>
    <w:p w14:paraId="3BEA148E" w14:textId="77777777" w:rsidR="00F15FE3" w:rsidRPr="00F15FE3" w:rsidRDefault="00F15FE3" w:rsidP="00F15FE3">
      <w:pPr>
        <w:shd w:val="clear" w:color="auto" w:fill="E2EFD9" w:themeFill="accent6" w:themeFillTint="33"/>
      </w:pPr>
      <w:r w:rsidRPr="00F15FE3">
        <w:t>The Regulator requires appropriate training for staff who work in certified facilities.</w:t>
      </w:r>
    </w:p>
    <w:p w14:paraId="58746B4A" w14:textId="26A08AE5" w:rsidR="001B06A6" w:rsidRPr="00B5608F" w:rsidRDefault="001B06A6" w:rsidP="009F018E">
      <w:pPr>
        <w:pStyle w:val="ListParagraph"/>
        <w:numPr>
          <w:ilvl w:val="0"/>
          <w:numId w:val="13"/>
        </w:numPr>
      </w:pPr>
      <w:r w:rsidRPr="00B5608F">
        <w:t xml:space="preserve">the direct costs of information obligations, which can be increased staffing costs, the development of new reporting tools and IT </w:t>
      </w:r>
      <w:proofErr w:type="gramStart"/>
      <w:r w:rsidRPr="00B5608F">
        <w:t>support;</w:t>
      </w:r>
      <w:proofErr w:type="gramEnd"/>
    </w:p>
    <w:p w14:paraId="5C191BD9" w14:textId="626DACBD" w:rsidR="001B06A6" w:rsidRPr="00F15FE3" w:rsidRDefault="001B06A6" w:rsidP="009F018E">
      <w:pPr>
        <w:pStyle w:val="ListParagraph"/>
        <w:numPr>
          <w:ilvl w:val="0"/>
          <w:numId w:val="13"/>
        </w:numPr>
      </w:pPr>
      <w:r w:rsidRPr="00B5608F">
        <w:t>the indirect costs of information obligations, which can include the opportunity costs when key staff are occupied on administrative tasks instead of the research tasks that are their core business and research funds that are directed away from research and into administration.</w:t>
      </w:r>
    </w:p>
    <w:p w14:paraId="24010AED" w14:textId="77777777" w:rsidR="00F15FE3" w:rsidRPr="00F15FE3" w:rsidRDefault="00F15FE3" w:rsidP="00F15FE3">
      <w:pPr>
        <w:keepNext/>
        <w:keepLines/>
        <w:shd w:val="clear" w:color="auto" w:fill="E2EFD9" w:themeFill="accent6" w:themeFillTint="33"/>
        <w:jc w:val="center"/>
        <w:rPr>
          <w:b/>
          <w:bCs/>
        </w:rPr>
      </w:pPr>
      <w:r w:rsidRPr="00F15FE3">
        <w:rPr>
          <w:b/>
          <w:bCs/>
        </w:rPr>
        <w:lastRenderedPageBreak/>
        <w:t>Case study:</w:t>
      </w:r>
    </w:p>
    <w:p w14:paraId="570CEF00" w14:textId="77777777" w:rsidR="00F15FE3" w:rsidRPr="00F15FE3" w:rsidRDefault="00F15FE3" w:rsidP="00F15FE3">
      <w:pPr>
        <w:keepNext/>
        <w:keepLines/>
        <w:shd w:val="clear" w:color="auto" w:fill="E2EFD9" w:themeFill="accent6" w:themeFillTint="33"/>
        <w:jc w:val="center"/>
        <w:rPr>
          <w:b/>
          <w:bCs/>
        </w:rPr>
      </w:pPr>
      <w:r w:rsidRPr="00F15FE3">
        <w:rPr>
          <w:b/>
          <w:bCs/>
        </w:rPr>
        <w:t>Information obligations in the gene technology regulatory system</w:t>
      </w:r>
    </w:p>
    <w:p w14:paraId="2639C917" w14:textId="77777777" w:rsidR="00F15FE3" w:rsidRPr="00F15FE3" w:rsidRDefault="00F15FE3" w:rsidP="00F15FE3">
      <w:pPr>
        <w:keepNext/>
        <w:keepLines/>
        <w:shd w:val="clear" w:color="auto" w:fill="E2EFD9" w:themeFill="accent6" w:themeFillTint="33"/>
      </w:pPr>
      <w:r w:rsidRPr="00F15FE3">
        <w:t>Accredited organisations are required to submit an annual report to the Regulator in a specific format.</w:t>
      </w:r>
    </w:p>
    <w:p w14:paraId="11E43506" w14:textId="77777777" w:rsidR="00F15FE3" w:rsidRPr="00F15FE3" w:rsidRDefault="00F15FE3" w:rsidP="00F15FE3">
      <w:pPr>
        <w:keepNext/>
        <w:keepLines/>
        <w:shd w:val="clear" w:color="auto" w:fill="E2EFD9" w:themeFill="accent6" w:themeFillTint="33"/>
      </w:pPr>
      <w:r w:rsidRPr="00F15FE3">
        <w:t>Licence holders who conduct field trials are required to submit monthly monitoring reports to the Regulator.</w:t>
      </w:r>
    </w:p>
    <w:p w14:paraId="04E6B07C" w14:textId="77777777" w:rsidR="00DD119B" w:rsidRDefault="001B06A6" w:rsidP="00F15FE3">
      <w:pPr>
        <w:pStyle w:val="Heading3"/>
      </w:pPr>
      <w:r w:rsidRPr="00DD119B">
        <w:t>Guidance on what constitutes good regulation</w:t>
      </w:r>
    </w:p>
    <w:p w14:paraId="210D2FD5" w14:textId="1C40A865" w:rsidR="00DD119B" w:rsidRPr="00DD119B" w:rsidRDefault="001B06A6" w:rsidP="00F15FE3">
      <w:r w:rsidRPr="00DD119B">
        <w:t xml:space="preserve">The Council of Australian </w:t>
      </w:r>
      <w:r w:rsidR="00DD119B" w:rsidRPr="00F15FE3">
        <w:t>Governments</w:t>
      </w:r>
      <w:r w:rsidR="00DD119B" w:rsidRPr="00DD119B">
        <w:t xml:space="preserve"> (COAG) has identifi</w:t>
      </w:r>
      <w:r w:rsidRPr="00DD119B">
        <w:t>ed some practical</w:t>
      </w:r>
      <w:r w:rsidR="00DD119B" w:rsidRPr="00DD119B">
        <w:t xml:space="preserve"> </w:t>
      </w:r>
      <w:r w:rsidRPr="00DD119B">
        <w:t xml:space="preserve">objectives that should be </w:t>
      </w:r>
      <w:proofErr w:type="gramStart"/>
      <w:r w:rsidRPr="00DD119B">
        <w:t>taken into account</w:t>
      </w:r>
      <w:proofErr w:type="gramEnd"/>
      <w:r w:rsidRPr="00DD119B">
        <w:t xml:space="preserve"> in formulating regulatory measures</w:t>
      </w:r>
      <w:r w:rsidR="00F15FE3">
        <w:rPr>
          <w:rStyle w:val="FootnoteReference"/>
          <w:rFonts w:asciiTheme="minorHAnsi" w:hAnsiTheme="minorHAnsi" w:cstheme="minorHAnsi"/>
        </w:rPr>
        <w:footnoteReference w:id="7"/>
      </w:r>
      <w:r w:rsidRPr="00DD119B">
        <w:t>.</w:t>
      </w:r>
    </w:p>
    <w:p w14:paraId="11F0CD5B" w14:textId="6FD2E914" w:rsidR="001B06A6" w:rsidRPr="00DD119B" w:rsidRDefault="001B06A6" w:rsidP="00F15FE3">
      <w:r w:rsidRPr="00DD119B">
        <w:t xml:space="preserve">Three of these </w:t>
      </w:r>
      <w:r w:rsidRPr="00F15FE3">
        <w:t>practical</w:t>
      </w:r>
      <w:r w:rsidRPr="00DD119B">
        <w:t xml:space="preserve"> objectives are:</w:t>
      </w:r>
    </w:p>
    <w:p w14:paraId="5E02E0C4" w14:textId="77777777" w:rsidR="001B06A6" w:rsidRPr="00F15FE3" w:rsidRDefault="001B06A6" w:rsidP="009F018E">
      <w:pPr>
        <w:pStyle w:val="ListParagraph"/>
        <w:numPr>
          <w:ilvl w:val="0"/>
          <w:numId w:val="14"/>
        </w:numPr>
      </w:pPr>
      <w:r w:rsidRPr="00F15FE3">
        <w:rPr>
          <w:b/>
          <w:bCs/>
        </w:rPr>
        <w:t>Minimising regulatory burden on the public</w:t>
      </w:r>
      <w:r w:rsidR="00DD119B" w:rsidRPr="00F15FE3">
        <w:rPr>
          <w:b/>
          <w:bCs/>
        </w:rPr>
        <w:br/>
      </w:r>
      <w:r w:rsidRPr="00F15FE3">
        <w:t>Legislation should entail the minimum necessary amount of regulation to</w:t>
      </w:r>
      <w:r w:rsidR="00DD119B" w:rsidRPr="00F15FE3">
        <w:t xml:space="preserve"> </w:t>
      </w:r>
      <w:r w:rsidRPr="00F15FE3">
        <w:t>achieve the objectives</w:t>
      </w:r>
    </w:p>
    <w:p w14:paraId="2F75AEB3" w14:textId="77777777" w:rsidR="000E1A4E" w:rsidRPr="00F15FE3" w:rsidRDefault="000E1A4E" w:rsidP="009F018E">
      <w:pPr>
        <w:pStyle w:val="ListParagraph"/>
        <w:numPr>
          <w:ilvl w:val="0"/>
          <w:numId w:val="14"/>
        </w:numPr>
      </w:pPr>
      <w:r w:rsidRPr="00F15FE3">
        <w:rPr>
          <w:b/>
          <w:bCs/>
        </w:rPr>
        <w:t>Minimising administrative burden</w:t>
      </w:r>
      <w:r w:rsidR="00DD119B" w:rsidRPr="00F15FE3">
        <w:rPr>
          <w:b/>
          <w:bCs/>
        </w:rPr>
        <w:br/>
      </w:r>
      <w:r w:rsidRPr="00F15FE3">
        <w:t>Regulators should develop regulatory measures in ways that minimise</w:t>
      </w:r>
      <w:r w:rsidR="00DD119B" w:rsidRPr="00F15FE3">
        <w:t xml:space="preserve"> </w:t>
      </w:r>
      <w:r w:rsidRPr="00F15FE3">
        <w:t>the financial impact of administration and enforcement of regulation on</w:t>
      </w:r>
      <w:r w:rsidR="00DD119B" w:rsidRPr="00F15FE3">
        <w:t xml:space="preserve"> </w:t>
      </w:r>
      <w:r w:rsidRPr="00F15FE3">
        <w:t>governments and the sectors of the community which will be affected by them.</w:t>
      </w:r>
    </w:p>
    <w:p w14:paraId="50BBC74B" w14:textId="094490EA" w:rsidR="000E1A4E" w:rsidRPr="00F15FE3" w:rsidRDefault="000E1A4E" w:rsidP="009F018E">
      <w:pPr>
        <w:pStyle w:val="ListParagraph"/>
        <w:numPr>
          <w:ilvl w:val="0"/>
          <w:numId w:val="14"/>
        </w:numPr>
      </w:pPr>
      <w:r w:rsidRPr="00F15FE3">
        <w:rPr>
          <w:b/>
          <w:bCs/>
        </w:rPr>
        <w:t>Performance-based regulations</w:t>
      </w:r>
      <w:r w:rsidR="00DD119B" w:rsidRPr="00F15FE3">
        <w:rPr>
          <w:b/>
          <w:bCs/>
        </w:rPr>
        <w:br/>
      </w:r>
      <w:r w:rsidRPr="00F15FE3">
        <w:t>Regulatory instruments should focus on outcomes rather than inputs. There</w:t>
      </w:r>
      <w:r w:rsidR="00DD119B" w:rsidRPr="00F15FE3">
        <w:t xml:space="preserve"> </w:t>
      </w:r>
      <w:r w:rsidRPr="00F15FE3">
        <w:t xml:space="preserve">should be no restrictions on the use of other standards </w:t>
      </w:r>
      <w:proofErr w:type="gramStart"/>
      <w:r w:rsidRPr="00F15FE3">
        <w:t>as long as</w:t>
      </w:r>
      <w:proofErr w:type="gramEnd"/>
      <w:r w:rsidRPr="00F15FE3">
        <w:t xml:space="preserve"> the objectives</w:t>
      </w:r>
      <w:r w:rsidR="00DD119B" w:rsidRPr="00F15FE3">
        <w:t xml:space="preserve"> </w:t>
      </w:r>
      <w:r w:rsidRPr="00F15FE3">
        <w:t>of the regulation are met.</w:t>
      </w:r>
    </w:p>
    <w:p w14:paraId="4ED95FE9" w14:textId="77777777" w:rsidR="001B06A6" w:rsidRPr="00DD119B" w:rsidRDefault="000E1A4E" w:rsidP="00F15FE3">
      <w:r w:rsidRPr="00DD119B">
        <w:t>In summary, COAG supports the need to keep the regulatory and administrative</w:t>
      </w:r>
      <w:r w:rsidR="00DD119B">
        <w:t xml:space="preserve"> </w:t>
      </w:r>
      <w:r w:rsidRPr="00DD119B">
        <w:t>burdens to the minimum necessary to achieve the objective of the regulatory measure.</w:t>
      </w:r>
    </w:p>
    <w:p w14:paraId="5A5CCF51" w14:textId="5F694E26" w:rsidR="00DD119B" w:rsidRPr="00F15FE3" w:rsidRDefault="00DD119B" w:rsidP="00F15FE3">
      <w:pPr>
        <w:pStyle w:val="Heading3"/>
      </w:pPr>
      <w:r w:rsidRPr="00DD119B">
        <w:t>Actions to minimise regulatory and administrative burdens</w:t>
      </w:r>
    </w:p>
    <w:p w14:paraId="358A4027" w14:textId="77777777" w:rsidR="00DD119B" w:rsidRPr="00F15FE3" w:rsidRDefault="00DD119B" w:rsidP="00F15FE3">
      <w:r w:rsidRPr="00F15FE3">
        <w:t>Most Organisation for Economic Co-operation and Development (OECD) countries have programs in place to reduce administrative burdens and compliance costs.</w:t>
      </w:r>
    </w:p>
    <w:p w14:paraId="13CBD6F6" w14:textId="65E7F652" w:rsidR="00DD119B" w:rsidRPr="00F15FE3" w:rsidRDefault="00DD119B" w:rsidP="00F15FE3">
      <w:r w:rsidRPr="00F15FE3">
        <w:t>There are a range of recognised actions that can help to alleviate regulatory and administrative burden. Some of these recognised actions include:</w:t>
      </w:r>
    </w:p>
    <w:p w14:paraId="0E025717" w14:textId="77777777" w:rsidR="00DD119B" w:rsidRPr="00F15FE3" w:rsidRDefault="00DD119B" w:rsidP="009F018E">
      <w:pPr>
        <w:pStyle w:val="ListParagraph"/>
        <w:numPr>
          <w:ilvl w:val="0"/>
          <w:numId w:val="15"/>
        </w:numPr>
      </w:pPr>
      <w:r w:rsidRPr="00F15FE3">
        <w:t>Streamlining process and paperwork requirements</w:t>
      </w:r>
    </w:p>
    <w:p w14:paraId="0AD3B7EB" w14:textId="77777777" w:rsidR="00DD119B" w:rsidRPr="00F15FE3" w:rsidRDefault="00DD119B" w:rsidP="009F018E">
      <w:pPr>
        <w:pStyle w:val="ListParagraph"/>
        <w:numPr>
          <w:ilvl w:val="0"/>
          <w:numId w:val="15"/>
        </w:numPr>
      </w:pPr>
      <w:r w:rsidRPr="00F15FE3">
        <w:t>Quantitative targets for burden reduction</w:t>
      </w:r>
    </w:p>
    <w:p w14:paraId="77436C70" w14:textId="77777777" w:rsidR="00DD119B" w:rsidRPr="00F15FE3" w:rsidRDefault="00DD119B" w:rsidP="009F018E">
      <w:pPr>
        <w:pStyle w:val="ListParagraph"/>
        <w:numPr>
          <w:ilvl w:val="0"/>
          <w:numId w:val="15"/>
        </w:numPr>
      </w:pPr>
      <w:r w:rsidRPr="00F15FE3">
        <w:t>Legislative simplification and codification</w:t>
      </w:r>
    </w:p>
    <w:p w14:paraId="70A3FC1F" w14:textId="77777777" w:rsidR="00DD119B" w:rsidRPr="00F15FE3" w:rsidRDefault="00DD119B" w:rsidP="009F018E">
      <w:pPr>
        <w:pStyle w:val="ListParagraph"/>
        <w:numPr>
          <w:ilvl w:val="0"/>
          <w:numId w:val="15"/>
        </w:numPr>
      </w:pPr>
      <w:r w:rsidRPr="00F15FE3">
        <w:t>Privatisation of certification function</w:t>
      </w:r>
    </w:p>
    <w:p w14:paraId="5E0C1FC8" w14:textId="0EE1A4EC" w:rsidR="00DD119B" w:rsidRPr="00F15FE3" w:rsidRDefault="00DD119B" w:rsidP="009F018E">
      <w:pPr>
        <w:pStyle w:val="ListParagraph"/>
        <w:numPr>
          <w:ilvl w:val="0"/>
          <w:numId w:val="15"/>
        </w:numPr>
      </w:pPr>
      <w:r w:rsidRPr="00F15FE3">
        <w:t>Introducing further statutory time limits and ‘silence is consent’ provisions</w:t>
      </w:r>
    </w:p>
    <w:p w14:paraId="122C1280" w14:textId="77777777" w:rsidR="00DD119B" w:rsidRPr="00F15FE3" w:rsidRDefault="00DD119B" w:rsidP="00F15FE3">
      <w:r w:rsidRPr="00F15FE3">
        <w:t>In examining the regulatory burden of the Act, the Review looked for opportunities where these actions could be employed without compromising the objective of the legislation to protect the health and safety of people and the environment.</w:t>
      </w:r>
    </w:p>
    <w:p w14:paraId="3FCE7FFB" w14:textId="77777777" w:rsidR="00DD119B" w:rsidRPr="00DD119B" w:rsidRDefault="00DD119B" w:rsidP="00F15FE3">
      <w:pPr>
        <w:pStyle w:val="Heading2"/>
      </w:pPr>
      <w:bookmarkStart w:id="62" w:name="_Toc95326296"/>
      <w:r w:rsidRPr="00DD119B">
        <w:lastRenderedPageBreak/>
        <w:t>A reasonable and justified regulatory burden</w:t>
      </w:r>
      <w:bookmarkEnd w:id="62"/>
    </w:p>
    <w:p w14:paraId="7010A4F6" w14:textId="1842F6F1" w:rsidR="00030009" w:rsidRPr="00F15FE3" w:rsidRDefault="00DD119B" w:rsidP="00F15FE3">
      <w:pPr>
        <w:pStyle w:val="Heading3"/>
      </w:pPr>
      <w:bookmarkStart w:id="63" w:name="_Toc95326297"/>
      <w:r w:rsidRPr="00F15FE3">
        <w:rPr>
          <w:rStyle w:val="Heading2Char"/>
          <w:b/>
          <w:sz w:val="22"/>
          <w:szCs w:val="24"/>
        </w:rPr>
        <w:t>Exempt dealings</w:t>
      </w:r>
      <w:bookmarkEnd w:id="63"/>
    </w:p>
    <w:p w14:paraId="499556F8" w14:textId="77777777" w:rsidR="00DD119B" w:rsidRPr="00030009" w:rsidRDefault="00DD119B" w:rsidP="00F15FE3">
      <w:r w:rsidRPr="00F15FE3">
        <w:t>Research</w:t>
      </w:r>
      <w:r w:rsidRPr="00030009">
        <w:t xml:space="preserve"> organisations stated that the current obligations to report on exempt</w:t>
      </w:r>
      <w:r w:rsidR="00CB55C0" w:rsidRPr="00030009">
        <w:t xml:space="preserve"> </w:t>
      </w:r>
      <w:r w:rsidRPr="00030009">
        <w:t>dealings represented an administrative burden that was excessive, given that this</w:t>
      </w:r>
      <w:r w:rsidR="00CB55C0" w:rsidRPr="00030009">
        <w:t xml:space="preserve"> </w:t>
      </w:r>
      <w:r w:rsidRPr="00030009">
        <w:t>category of dealings is exempt because they are very low risk. Research organisations</w:t>
      </w:r>
      <w:r w:rsidR="00CB55C0" w:rsidRPr="00030009">
        <w:t xml:space="preserve"> </w:t>
      </w:r>
      <w:r w:rsidRPr="00030009">
        <w:t>argued that ‘exempt should mean exempt’. The Review heard from GTTAC that</w:t>
      </w:r>
      <w:r w:rsidR="00CB55C0" w:rsidRPr="00030009">
        <w:t xml:space="preserve"> </w:t>
      </w:r>
      <w:r w:rsidRPr="00030009">
        <w:t>exempt dealings do not require regulatory oversight and do not need to be contained</w:t>
      </w:r>
      <w:r w:rsidR="00CB55C0" w:rsidRPr="00030009">
        <w:t xml:space="preserve"> </w:t>
      </w:r>
      <w:r w:rsidRPr="00030009">
        <w:t>in PC1 facilities.</w:t>
      </w:r>
    </w:p>
    <w:p w14:paraId="01364DA0" w14:textId="5C083625" w:rsidR="00DD119B" w:rsidRPr="00DD119B" w:rsidRDefault="00DD119B" w:rsidP="00F15FE3">
      <w:r w:rsidRPr="00DD119B">
        <w:t>The Review concluded that:</w:t>
      </w:r>
    </w:p>
    <w:p w14:paraId="1B4CAB53" w14:textId="77777777" w:rsidR="00CB55C0" w:rsidRPr="00F15FE3" w:rsidRDefault="00DD119B" w:rsidP="009F018E">
      <w:pPr>
        <w:pStyle w:val="ListParagraph"/>
        <w:numPr>
          <w:ilvl w:val="0"/>
          <w:numId w:val="16"/>
        </w:numPr>
      </w:pPr>
      <w:r w:rsidRPr="00F15FE3">
        <w:t xml:space="preserve">the exempt category of dealings should continue to be listed in the </w:t>
      </w:r>
      <w:proofErr w:type="gramStart"/>
      <w:r w:rsidRPr="00F15FE3">
        <w:t>Regulations;</w:t>
      </w:r>
      <w:proofErr w:type="gramEnd"/>
    </w:p>
    <w:p w14:paraId="67554B78" w14:textId="77777777" w:rsidR="00CB55C0" w:rsidRPr="00F15FE3" w:rsidRDefault="00CB55C0" w:rsidP="009F018E">
      <w:pPr>
        <w:pStyle w:val="ListParagraph"/>
        <w:numPr>
          <w:ilvl w:val="0"/>
          <w:numId w:val="16"/>
        </w:numPr>
      </w:pPr>
      <w:r w:rsidRPr="00F15FE3">
        <w:t xml:space="preserve">the criteria used to assess dealings proposed for the exempt category should be explained in a document available to the </w:t>
      </w:r>
      <w:proofErr w:type="gramStart"/>
      <w:r w:rsidRPr="00F15FE3">
        <w:t>public;</w:t>
      </w:r>
      <w:proofErr w:type="gramEnd"/>
    </w:p>
    <w:p w14:paraId="4E3D2867" w14:textId="77777777" w:rsidR="00CB55C0" w:rsidRPr="00F15FE3" w:rsidRDefault="00CB55C0" w:rsidP="009F018E">
      <w:pPr>
        <w:pStyle w:val="ListParagraph"/>
        <w:numPr>
          <w:ilvl w:val="0"/>
          <w:numId w:val="16"/>
        </w:numPr>
      </w:pPr>
      <w:r w:rsidRPr="00F15FE3">
        <w:t xml:space="preserve">the Regulator should undertake regular reviews of the list of dealings in this </w:t>
      </w:r>
      <w:proofErr w:type="gramStart"/>
      <w:r w:rsidRPr="00F15FE3">
        <w:t>category;</w:t>
      </w:r>
      <w:proofErr w:type="gramEnd"/>
    </w:p>
    <w:p w14:paraId="1B43C57F" w14:textId="77777777" w:rsidR="00CB55C0" w:rsidRPr="00F15FE3" w:rsidRDefault="00CB55C0" w:rsidP="009F018E">
      <w:pPr>
        <w:pStyle w:val="ListParagraph"/>
        <w:numPr>
          <w:ilvl w:val="0"/>
          <w:numId w:val="16"/>
        </w:numPr>
      </w:pPr>
      <w:r w:rsidRPr="00F15FE3">
        <w:t>there should be no other regulatory requirements on exempt dealings beyond their listing in the Regulations.</w:t>
      </w:r>
    </w:p>
    <w:p w14:paraId="18A0A2DD" w14:textId="77777777" w:rsidR="00CB55C0" w:rsidRPr="00F15FE3" w:rsidRDefault="00CB55C0" w:rsidP="00F15FE3">
      <w:pPr>
        <w:pStyle w:val="Recommendation"/>
      </w:pPr>
      <w:r w:rsidRPr="00F15FE3">
        <w:t>Recommendation 6.1: The Review recommends that there should be no legislative requirements on exempt dealings beyond listing of in the Regulations. The Regulator should undertake regular reviews of the listing to ensure it remains current.</w:t>
      </w:r>
    </w:p>
    <w:p w14:paraId="147F9EA7" w14:textId="421204EE" w:rsidR="00CB55C0" w:rsidRPr="00F15FE3" w:rsidRDefault="00CB55C0" w:rsidP="00451A3E">
      <w:pPr>
        <w:pStyle w:val="Heading3"/>
      </w:pPr>
      <w:r w:rsidRPr="00F15FE3">
        <w:t>Notifiable low risk dealings</w:t>
      </w:r>
    </w:p>
    <w:p w14:paraId="073968BD" w14:textId="77777777" w:rsidR="00F15FE3" w:rsidRPr="00F15FE3" w:rsidRDefault="00CB55C0" w:rsidP="00F15FE3">
      <w:r w:rsidRPr="00F15FE3">
        <w:t>Applications for NLRDs are currently reviewed by the Institutional Biosafety Committee (IBC) and forwarded to the Regulator as a notification. The notification must take place within 14 days of the IBC assessing the work. All NLRDs are included on the GMO record which is accessible by the public.</w:t>
      </w:r>
    </w:p>
    <w:p w14:paraId="43083F71" w14:textId="4073C60B" w:rsidR="00CB55C0" w:rsidRPr="00F15FE3" w:rsidRDefault="00CB55C0" w:rsidP="00F15FE3">
      <w:r w:rsidRPr="00F15FE3">
        <w:t>Research organisations had two main concerns with the regulatory requirements on NLRDs: the information requirements in the application form were repetitive and excessive; and there was no capacity for variation of NLRDs so that any changes to the information (whether it was a change in contact officer or a change in GMOs) triggered the need to submit a new NLRD, resulting in additional workload for the IBC and repetitive paperwork requirements. Research organisations stressed many times throughout the consultation process that there was a thirty-year history in Australia with this type of contained research using GMOs and no reported problems. They argued that because it was low risk work with a safe history, the regulatory requirements should be simplified.</w:t>
      </w:r>
    </w:p>
    <w:p w14:paraId="193A20AD" w14:textId="77777777" w:rsidR="00CB55C0" w:rsidRPr="00CB55C0" w:rsidRDefault="00CB55C0" w:rsidP="00F15FE3">
      <w:r w:rsidRPr="00CB55C0">
        <w:t xml:space="preserve">The Review heard from GTTAC that </w:t>
      </w:r>
      <w:r w:rsidRPr="00F15FE3">
        <w:t>NLRD</w:t>
      </w:r>
      <w:r w:rsidRPr="00CB55C0">
        <w:t xml:space="preserve"> activities did not warrant the current</w:t>
      </w:r>
      <w:r>
        <w:t xml:space="preserve"> </w:t>
      </w:r>
      <w:r w:rsidRPr="00CB55C0">
        <w:t>regulatory burd</w:t>
      </w:r>
      <w:r>
        <w:t>en since the NLRDs were by defi</w:t>
      </w:r>
      <w:r w:rsidRPr="00CB55C0">
        <w:t>nition low risk. The Review</w:t>
      </w:r>
      <w:r>
        <w:t xml:space="preserve"> </w:t>
      </w:r>
      <w:r w:rsidRPr="00CB55C0">
        <w:t>determined that the regulatory burden for NLRDs could be reduced, while still</w:t>
      </w:r>
      <w:r>
        <w:t xml:space="preserve"> </w:t>
      </w:r>
      <w:r w:rsidRPr="00CB55C0">
        <w:t>managing NLRDs appropriately, by:</w:t>
      </w:r>
    </w:p>
    <w:p w14:paraId="66044B43" w14:textId="77777777" w:rsidR="00CB55C0" w:rsidRPr="00F15FE3" w:rsidRDefault="00CB55C0" w:rsidP="009F018E">
      <w:pPr>
        <w:pStyle w:val="ListParagraph"/>
        <w:numPr>
          <w:ilvl w:val="0"/>
          <w:numId w:val="17"/>
        </w:numPr>
      </w:pPr>
      <w:r w:rsidRPr="00F15FE3">
        <w:t xml:space="preserve">removing the requirement to notify an NLRD within 14 days and replacing it with a requirement to report on all NLRDs in the annual report of the IBC — on the basis that during the year the IBC must keep a list of the current NLRDs being conducted by the organisation and produce it if requested by the </w:t>
      </w:r>
      <w:proofErr w:type="gramStart"/>
      <w:r w:rsidRPr="00F15FE3">
        <w:t>Regulator;</w:t>
      </w:r>
      <w:proofErr w:type="gramEnd"/>
      <w:r w:rsidRPr="00F15FE3">
        <w:t xml:space="preserve"> and</w:t>
      </w:r>
    </w:p>
    <w:p w14:paraId="4DC82EF1" w14:textId="77777777" w:rsidR="00CB55C0" w:rsidRPr="00CB55C0" w:rsidRDefault="00CB55C0" w:rsidP="009F018E">
      <w:pPr>
        <w:pStyle w:val="ListParagraph"/>
        <w:numPr>
          <w:ilvl w:val="0"/>
          <w:numId w:val="17"/>
        </w:numPr>
      </w:pPr>
      <w:r w:rsidRPr="00F15FE3">
        <w:t>rationalising the information requirements in the application form as intended in the review</w:t>
      </w:r>
      <w:r w:rsidRPr="00CB55C0">
        <w:t xml:space="preserve"> of the Regulations.</w:t>
      </w:r>
    </w:p>
    <w:p w14:paraId="707212D3" w14:textId="77777777" w:rsidR="00CB55C0" w:rsidRPr="00F15FE3" w:rsidRDefault="00CB55C0" w:rsidP="00F15FE3">
      <w:pPr>
        <w:pStyle w:val="Recommendation"/>
        <w:keepLines/>
      </w:pPr>
      <w:r w:rsidRPr="00F15FE3">
        <w:lastRenderedPageBreak/>
        <w:t>Recommendation 6.2: The Review recommends that the requirement to notify NLRDs to the Regulator within 14 days be removed and replaced with a requirement to include a report of all NLRDs conducted in the last 12 months in the accredited organisation’s annual report, and to maintain an up-to-date list for inspection and auditing purposes.</w:t>
      </w:r>
    </w:p>
    <w:p w14:paraId="2622CA2C" w14:textId="77777777" w:rsidR="00F15FE3" w:rsidRPr="00451A3E" w:rsidRDefault="00CB55C0" w:rsidP="00451A3E">
      <w:pPr>
        <w:pStyle w:val="Heading3"/>
      </w:pPr>
      <w:bookmarkStart w:id="64" w:name="_Toc95326298"/>
      <w:r w:rsidRPr="00451A3E">
        <w:rPr>
          <w:rStyle w:val="Heading2Char"/>
          <w:b/>
          <w:sz w:val="22"/>
          <w:szCs w:val="24"/>
        </w:rPr>
        <w:t>Dealings not involving an intentional release</w:t>
      </w:r>
      <w:bookmarkEnd w:id="64"/>
    </w:p>
    <w:p w14:paraId="577836C5" w14:textId="686FDA9E" w:rsidR="00CB55C0" w:rsidRPr="00F15FE3" w:rsidRDefault="00CB55C0" w:rsidP="00F15FE3">
      <w:r w:rsidRPr="00F15FE3">
        <w:t>Applications for DNIRs are reviewed by the IBC and sent to the Regulator for decision.</w:t>
      </w:r>
    </w:p>
    <w:p w14:paraId="39DA19E1" w14:textId="5949DB1B" w:rsidR="00CB55C0" w:rsidRPr="00412EDD" w:rsidRDefault="00CB55C0" w:rsidP="00F15FE3">
      <w:r w:rsidRPr="00F15FE3">
        <w:t>The Regulator is allowed some discretion in consulting on DNIRs. All DNIRs are included on the GMO record. The Review noted that the Regulator is concurrently reviewing the regulations, which provide the detail for regulating DNIRs.</w:t>
      </w:r>
    </w:p>
    <w:p w14:paraId="7F1F9F4E" w14:textId="735D7E8A" w:rsidR="00CB55C0" w:rsidRPr="00CB55C0" w:rsidRDefault="00CB55C0" w:rsidP="00451A3E">
      <w:r w:rsidRPr="00CB55C0">
        <w:t>The main concern from research organisations regarding DNIRs was the length of</w:t>
      </w:r>
      <w:r>
        <w:t xml:space="preserve"> </w:t>
      </w:r>
      <w:r w:rsidRPr="00CB55C0">
        <w:t>time taken to process variations. Currently, there is no statutory time frame for</w:t>
      </w:r>
      <w:r>
        <w:t xml:space="preserve"> </w:t>
      </w:r>
      <w:r w:rsidRPr="00CB55C0">
        <w:t>consideration of variations and there is a perception that they may be assigned a</w:t>
      </w:r>
      <w:r>
        <w:t xml:space="preserve"> </w:t>
      </w:r>
      <w:r w:rsidRPr="00CB55C0">
        <w:t xml:space="preserve">lower </w:t>
      </w:r>
      <w:r w:rsidRPr="00451A3E">
        <w:t>priority</w:t>
      </w:r>
      <w:r w:rsidRPr="00CB55C0">
        <w:t xml:space="preserve"> than applications (which do have statutory time frames). Researchers</w:t>
      </w:r>
      <w:r>
        <w:t xml:space="preserve"> </w:t>
      </w:r>
      <w:r w:rsidRPr="00CB55C0">
        <w:t>argued that a lengthy delay in processing variations can result in missed opportunities</w:t>
      </w:r>
      <w:r>
        <w:t xml:space="preserve"> </w:t>
      </w:r>
      <w:r w:rsidRPr="00CB55C0">
        <w:t>for collaborations. Examples were given where a researcher may attend a conference</w:t>
      </w:r>
      <w:r>
        <w:t xml:space="preserve"> </w:t>
      </w:r>
      <w:r w:rsidRPr="00CB55C0">
        <w:t xml:space="preserve">and </w:t>
      </w:r>
      <w:proofErr w:type="gramStart"/>
      <w:r w:rsidRPr="00CB55C0">
        <w:t>make contact with</w:t>
      </w:r>
      <w:proofErr w:type="gramEnd"/>
      <w:r w:rsidRPr="00CB55C0">
        <w:t xml:space="preserve"> other researchers either within Australia or overseas working</w:t>
      </w:r>
      <w:r>
        <w:t xml:space="preserve"> in a related fi</w:t>
      </w:r>
      <w:r w:rsidRPr="00CB55C0">
        <w:t>eld with a potential for collaboration. If the collaboration is outside the</w:t>
      </w:r>
      <w:r>
        <w:t xml:space="preserve"> </w:t>
      </w:r>
      <w:r w:rsidRPr="00CB55C0">
        <w:t>scope of a current approval, it may require either a new application or a variation. A</w:t>
      </w:r>
      <w:r>
        <w:t xml:space="preserve"> </w:t>
      </w:r>
      <w:r w:rsidRPr="00CB55C0">
        <w:t xml:space="preserve">new application has the certainty that a decision will be taken within 90 </w:t>
      </w:r>
      <w:proofErr w:type="gramStart"/>
      <w:r w:rsidRPr="00CB55C0">
        <w:t>days</w:t>
      </w:r>
      <w:proofErr w:type="gramEnd"/>
      <w:r w:rsidRPr="00CB55C0">
        <w:t xml:space="preserve"> but a</w:t>
      </w:r>
      <w:r w:rsidR="00780F72">
        <w:t xml:space="preserve"> </w:t>
      </w:r>
      <w:r w:rsidRPr="00CB55C0">
        <w:t>variation does not.</w:t>
      </w:r>
    </w:p>
    <w:p w14:paraId="7B2F79FB" w14:textId="77777777" w:rsidR="00CB55C0" w:rsidRPr="00CB55C0" w:rsidRDefault="00CB55C0" w:rsidP="00451A3E">
      <w:r w:rsidRPr="00CB55C0">
        <w:t xml:space="preserve">The Review considered that it was reasonable to provide a </w:t>
      </w:r>
      <w:r w:rsidRPr="00451A3E">
        <w:t>statutory</w:t>
      </w:r>
      <w:r w:rsidRPr="00CB55C0">
        <w:t xml:space="preserve"> time frame</w:t>
      </w:r>
      <w:r w:rsidR="00780F72">
        <w:t xml:space="preserve"> </w:t>
      </w:r>
      <w:r w:rsidRPr="00CB55C0">
        <w:t>for variations. This would provide greater certainty to regulated organisations and</w:t>
      </w:r>
      <w:r w:rsidR="00780F72">
        <w:t xml:space="preserve"> </w:t>
      </w:r>
      <w:r w:rsidRPr="00CB55C0">
        <w:t>encourage the Regulator to develop decision criteria that would streamline the</w:t>
      </w:r>
      <w:r w:rsidR="00780F72">
        <w:t xml:space="preserve"> </w:t>
      </w:r>
      <w:r w:rsidRPr="00CB55C0">
        <w:t>decision-making process. This matter was discussed in chapter 5.</w:t>
      </w:r>
    </w:p>
    <w:p w14:paraId="2AF1384C" w14:textId="77777777" w:rsidR="00451A3E" w:rsidRPr="00451A3E" w:rsidRDefault="00CB55C0" w:rsidP="00451A3E">
      <w:pPr>
        <w:pStyle w:val="Heading3"/>
        <w:rPr>
          <w:rStyle w:val="Heading2Char"/>
          <w:b/>
          <w:sz w:val="22"/>
          <w:szCs w:val="24"/>
        </w:rPr>
      </w:pPr>
      <w:bookmarkStart w:id="65" w:name="_Toc95326299"/>
      <w:r w:rsidRPr="00451A3E">
        <w:rPr>
          <w:rStyle w:val="Heading2Char"/>
          <w:b/>
          <w:sz w:val="22"/>
          <w:szCs w:val="24"/>
        </w:rPr>
        <w:t>Dealings involving an intentional release</w:t>
      </w:r>
      <w:bookmarkEnd w:id="65"/>
    </w:p>
    <w:p w14:paraId="0D088880" w14:textId="03097FA6" w:rsidR="00CB55C0" w:rsidRPr="00451A3E" w:rsidRDefault="00CB55C0" w:rsidP="00451A3E">
      <w:r w:rsidRPr="00451A3E">
        <w:t>Applications for DIRs are reviewed by the IBC and sent to the Regulator for decision.</w:t>
      </w:r>
    </w:p>
    <w:p w14:paraId="1B693C31" w14:textId="1E72B416" w:rsidR="00CB55C0" w:rsidRPr="00451A3E" w:rsidRDefault="00CB55C0" w:rsidP="00451A3E">
      <w:r w:rsidRPr="00451A3E">
        <w:t>The Regulator is required to consult on DIRs with a range of organisations and the</w:t>
      </w:r>
      <w:r w:rsidR="00780F72" w:rsidRPr="00451A3E">
        <w:t xml:space="preserve"> </w:t>
      </w:r>
      <w:r w:rsidRPr="00451A3E">
        <w:t>public. All DIRs are included on the GMO record.</w:t>
      </w:r>
    </w:p>
    <w:p w14:paraId="2F36E54A" w14:textId="77777777" w:rsidR="00CB55C0" w:rsidRPr="00451A3E" w:rsidRDefault="00CB55C0" w:rsidP="00451A3E">
      <w:r w:rsidRPr="00451A3E">
        <w:t xml:space="preserve">There were two major concerns from accredited organisations regarding </w:t>
      </w:r>
      <w:proofErr w:type="spellStart"/>
      <w:r w:rsidRPr="00451A3E">
        <w:t>DIRs.</w:t>
      </w:r>
      <w:proofErr w:type="spellEnd"/>
      <w:r w:rsidRPr="00451A3E">
        <w:t xml:space="preserve"> As</w:t>
      </w:r>
      <w:r w:rsidR="00780F72" w:rsidRPr="00451A3E">
        <w:t xml:space="preserve"> </w:t>
      </w:r>
      <w:r w:rsidRPr="00451A3E">
        <w:t>with DNIRs, the fact that there was no time frame for considering variations led to</w:t>
      </w:r>
      <w:r w:rsidR="00780F72" w:rsidRPr="00451A3E">
        <w:t xml:space="preserve"> </w:t>
      </w:r>
      <w:r w:rsidRPr="00451A3E">
        <w:t>uncertainty and missed opportunities. Commonly in the DIR category, the applicant</w:t>
      </w:r>
      <w:r w:rsidR="00780F72" w:rsidRPr="00451A3E">
        <w:t xml:space="preserve"> </w:t>
      </w:r>
      <w:r w:rsidRPr="00451A3E">
        <w:t>was seeking a variation to allow a particular crop to be planted to follow on from the</w:t>
      </w:r>
      <w:r w:rsidR="00780F72" w:rsidRPr="00451A3E">
        <w:t xml:space="preserve"> </w:t>
      </w:r>
      <w:r w:rsidRPr="00451A3E">
        <w:t xml:space="preserve">trial crop. </w:t>
      </w:r>
      <w:proofErr w:type="gramStart"/>
      <w:r w:rsidRPr="00451A3E">
        <w:t>Therefore</w:t>
      </w:r>
      <w:proofErr w:type="gramEnd"/>
      <w:r w:rsidRPr="00451A3E">
        <w:t xml:space="preserve"> a decision was needed within the window of opportunity for</w:t>
      </w:r>
      <w:r w:rsidR="00780F72" w:rsidRPr="00451A3E">
        <w:t xml:space="preserve"> </w:t>
      </w:r>
      <w:r w:rsidRPr="00451A3E">
        <w:t>planting the crop. The Review agreed that a time frame for processing variations was</w:t>
      </w:r>
      <w:r w:rsidR="00780F72" w:rsidRPr="00451A3E">
        <w:t xml:space="preserve"> </w:t>
      </w:r>
      <w:r w:rsidRPr="00451A3E">
        <w:t>justified. This was discussed in chapter 5.</w:t>
      </w:r>
    </w:p>
    <w:p w14:paraId="733B582C" w14:textId="77777777" w:rsidR="00780F72" w:rsidRPr="00451A3E" w:rsidRDefault="00780F72" w:rsidP="00451A3E">
      <w:r w:rsidRPr="00451A3E">
        <w:t xml:space="preserve">Secondly, organisations conducting DIRs believed the information requirements for conducting </w:t>
      </w:r>
      <w:proofErr w:type="gramStart"/>
      <w:r w:rsidRPr="00451A3E">
        <w:t>early stage</w:t>
      </w:r>
      <w:proofErr w:type="gramEnd"/>
      <w:r w:rsidRPr="00451A3E">
        <w:t xml:space="preserve"> field trials were onerous and repetitive. They argued that there should be two categories of DIR — field trial and commercial release — and that the information requirements for field trials should be streamlined. The Review agreed that there was a good case for differentiating field trials from commercial release applications. This was discussed in chapter 5.</w:t>
      </w:r>
    </w:p>
    <w:p w14:paraId="4894F2BD" w14:textId="77777777" w:rsidR="00780F72" w:rsidRDefault="00780F72" w:rsidP="00451A3E">
      <w:pPr>
        <w:pStyle w:val="Heading3"/>
      </w:pPr>
      <w:r w:rsidRPr="00780F72">
        <w:t>Certification guidelines</w:t>
      </w:r>
    </w:p>
    <w:p w14:paraId="196984F5" w14:textId="4DCE5A1E" w:rsidR="00780F72" w:rsidRPr="00780F72" w:rsidRDefault="00780F72" w:rsidP="00451A3E">
      <w:r w:rsidRPr="00780F72">
        <w:t xml:space="preserve">Work involving GMOs must be </w:t>
      </w:r>
      <w:r>
        <w:t>conducted in facilities certifi</w:t>
      </w:r>
      <w:r w:rsidRPr="00780F72">
        <w:t>ed for the purpose by</w:t>
      </w:r>
      <w:r>
        <w:t xml:space="preserve"> </w:t>
      </w:r>
      <w:r w:rsidRPr="00780F72">
        <w:t>the Regulator. The Regulator categorises the containment levels in these facilities</w:t>
      </w:r>
      <w:r>
        <w:t xml:space="preserve"> </w:t>
      </w:r>
      <w:r w:rsidRPr="00780F72">
        <w:t xml:space="preserve">as physical </w:t>
      </w:r>
      <w:r w:rsidRPr="00780F72">
        <w:lastRenderedPageBreak/>
        <w:t>containment levels 1–4, where PC1 is the simplest level of containment</w:t>
      </w:r>
      <w:r>
        <w:t xml:space="preserve"> </w:t>
      </w:r>
      <w:r w:rsidRPr="00780F72">
        <w:t>and PC4 is the most sophisticated. Most of the work approved by the Regulator is</w:t>
      </w:r>
      <w:r>
        <w:t xml:space="preserve"> </w:t>
      </w:r>
      <w:r w:rsidRPr="00780F72">
        <w:t>conducted in PC2 facilities. PC2 facilities include university research laboratories,</w:t>
      </w:r>
      <w:r>
        <w:t xml:space="preserve"> </w:t>
      </w:r>
      <w:r w:rsidRPr="00780F72">
        <w:t xml:space="preserve">animal houses, </w:t>
      </w:r>
      <w:proofErr w:type="gramStart"/>
      <w:r w:rsidRPr="00780F72">
        <w:t>insectaries</w:t>
      </w:r>
      <w:proofErr w:type="gramEnd"/>
      <w:r w:rsidRPr="00780F72">
        <w:t xml:space="preserve"> and aquaria.</w:t>
      </w:r>
    </w:p>
    <w:p w14:paraId="001E600F" w14:textId="00641621" w:rsidR="00780F72" w:rsidRPr="00451A3E" w:rsidRDefault="00780F72" w:rsidP="00451A3E">
      <w:r w:rsidRPr="00451A3E">
        <w:t>The Regulator can impose conditions on certification and can vary the certification.</w:t>
      </w:r>
    </w:p>
    <w:p w14:paraId="2857C3A4" w14:textId="1AB1B2AD" w:rsidR="00780F72" w:rsidRPr="00451A3E" w:rsidRDefault="00780F72" w:rsidP="00451A3E">
      <w:r w:rsidRPr="00451A3E">
        <w:t>The Review heard that the Regulator had focused considerable effort and resources into revising the certification guidelines when it was found that the original (transitional) guidelines brought over from the previous voluntary system contained many ambiguities. The process of revision had included consultation with affected parties.</w:t>
      </w:r>
    </w:p>
    <w:p w14:paraId="135C800A" w14:textId="784850F3" w:rsidR="00780F72" w:rsidRPr="00451A3E" w:rsidRDefault="00780F72" w:rsidP="00451A3E">
      <w:r w:rsidRPr="00451A3E">
        <w:t>Despite the efforts of the Regulator to bring clarity and certainty to the guidelines, certification of PC2 facilities remains an area causing difficulty and confusion for accredited organisations.</w:t>
      </w:r>
    </w:p>
    <w:p w14:paraId="5EA8A8EB" w14:textId="77777777" w:rsidR="00780F72" w:rsidRPr="00451A3E" w:rsidRDefault="00780F72" w:rsidP="00451A3E">
      <w:r w:rsidRPr="00451A3E">
        <w:t>The Review found that concerns with certification were of two types:</w:t>
      </w:r>
    </w:p>
    <w:p w14:paraId="07651C70" w14:textId="77777777" w:rsidR="00780F72" w:rsidRPr="00451A3E" w:rsidRDefault="00780F72" w:rsidP="009F018E">
      <w:pPr>
        <w:pStyle w:val="ListParagraph"/>
        <w:numPr>
          <w:ilvl w:val="0"/>
          <w:numId w:val="18"/>
        </w:numPr>
      </w:pPr>
      <w:r w:rsidRPr="00451A3E">
        <w:t>interface issues; and</w:t>
      </w:r>
    </w:p>
    <w:p w14:paraId="4D0098BA" w14:textId="77777777" w:rsidR="00780F72" w:rsidRPr="00451A3E" w:rsidRDefault="00780F72" w:rsidP="009F018E">
      <w:pPr>
        <w:pStyle w:val="ListParagraph"/>
        <w:numPr>
          <w:ilvl w:val="0"/>
          <w:numId w:val="18"/>
        </w:numPr>
      </w:pPr>
      <w:r w:rsidRPr="00451A3E">
        <w:t>difficulty in meeting specific requirements and/or the process of obtaining a variation.</w:t>
      </w:r>
    </w:p>
    <w:p w14:paraId="542C625F" w14:textId="77777777" w:rsidR="00780F72" w:rsidRPr="00451A3E" w:rsidRDefault="00780F72" w:rsidP="00451A3E">
      <w:r w:rsidRPr="00451A3E">
        <w:t>Interface issues relate to:</w:t>
      </w:r>
    </w:p>
    <w:p w14:paraId="45C6CAA7" w14:textId="77777777" w:rsidR="00780F72" w:rsidRPr="00451A3E" w:rsidRDefault="00780F72" w:rsidP="009F018E">
      <w:pPr>
        <w:pStyle w:val="ListParagraph"/>
        <w:numPr>
          <w:ilvl w:val="0"/>
          <w:numId w:val="19"/>
        </w:numPr>
      </w:pPr>
      <w:r w:rsidRPr="00451A3E">
        <w:t>conflicting requirements in the OGTR certification guidelines, the AQIS class 5 criteria requirements, the relevant Australian Standard (AS/NZS 2243.3:2002 Safety in laboratories — Part 3: Microbiological aspects and containment facilities) and to a lesser extent State occupational health and safety legislation; and</w:t>
      </w:r>
    </w:p>
    <w:p w14:paraId="765930F9" w14:textId="77777777" w:rsidR="00780F72" w:rsidRPr="00451A3E" w:rsidRDefault="00780F72" w:rsidP="009F018E">
      <w:pPr>
        <w:pStyle w:val="ListParagraph"/>
        <w:numPr>
          <w:ilvl w:val="0"/>
          <w:numId w:val="19"/>
        </w:numPr>
      </w:pPr>
      <w:r w:rsidRPr="00451A3E">
        <w:t>facilities being audited separately by AQIS and OGTR.</w:t>
      </w:r>
    </w:p>
    <w:p w14:paraId="56B8A529" w14:textId="0257D775" w:rsidR="00780F72" w:rsidRPr="00451A3E" w:rsidRDefault="00780F72" w:rsidP="00451A3E">
      <w:r w:rsidRPr="00780F72">
        <w:t>The Review understood that the OGTR and AQIS requirements were addressing</w:t>
      </w:r>
      <w:r>
        <w:t xml:space="preserve"> </w:t>
      </w:r>
      <w:r w:rsidRPr="00780F72">
        <w:t>different risks but believed there was scope for greater harmonisation.</w:t>
      </w:r>
    </w:p>
    <w:p w14:paraId="27D021A7" w14:textId="77777777" w:rsidR="00451A3E" w:rsidRPr="00451A3E" w:rsidRDefault="00451A3E" w:rsidP="00451A3E">
      <w:pPr>
        <w:shd w:val="clear" w:color="auto" w:fill="E2EFD9" w:themeFill="accent6" w:themeFillTint="33"/>
        <w:jc w:val="center"/>
        <w:rPr>
          <w:b/>
          <w:bCs/>
        </w:rPr>
      </w:pPr>
      <w:r w:rsidRPr="00451A3E">
        <w:rPr>
          <w:b/>
          <w:bCs/>
        </w:rPr>
        <w:t>Case Study:</w:t>
      </w:r>
    </w:p>
    <w:p w14:paraId="76A7B93D" w14:textId="77777777" w:rsidR="00451A3E" w:rsidRPr="00451A3E" w:rsidRDefault="00451A3E" w:rsidP="00451A3E">
      <w:pPr>
        <w:shd w:val="clear" w:color="auto" w:fill="E2EFD9" w:themeFill="accent6" w:themeFillTint="33"/>
        <w:jc w:val="center"/>
        <w:rPr>
          <w:b/>
          <w:bCs/>
        </w:rPr>
      </w:pPr>
      <w:r w:rsidRPr="00451A3E">
        <w:rPr>
          <w:b/>
          <w:bCs/>
        </w:rPr>
        <w:t>Aquaria</w:t>
      </w:r>
    </w:p>
    <w:p w14:paraId="1B7A547F" w14:textId="77777777" w:rsidR="00451A3E" w:rsidRPr="00451A3E" w:rsidRDefault="00451A3E" w:rsidP="00451A3E">
      <w:pPr>
        <w:shd w:val="clear" w:color="auto" w:fill="E2EFD9" w:themeFill="accent6" w:themeFillTint="33"/>
      </w:pPr>
      <w:r w:rsidRPr="00451A3E">
        <w:t>Quarantine requirements for aquaria are designed to prevent the escape of pests or diseases associated with imported fish from being introduced to Australian waterways. They restrict the flushing of water from the aquaria unless it has been suitably processed.</w:t>
      </w:r>
    </w:p>
    <w:p w14:paraId="3F083F03" w14:textId="77777777" w:rsidR="00451A3E" w:rsidRPr="00451A3E" w:rsidRDefault="00451A3E" w:rsidP="00451A3E">
      <w:pPr>
        <w:shd w:val="clear" w:color="auto" w:fill="E2EFD9" w:themeFill="accent6" w:themeFillTint="33"/>
      </w:pPr>
      <w:r w:rsidRPr="00451A3E">
        <w:t xml:space="preserve">OGTR requirements for aquaria are designed to ensure the containment of the GMO. If the fish is a </w:t>
      </w:r>
      <w:proofErr w:type="gramStart"/>
      <w:r w:rsidRPr="00451A3E">
        <w:t>GMO</w:t>
      </w:r>
      <w:proofErr w:type="gramEnd"/>
      <w:r w:rsidRPr="00451A3E">
        <w:t xml:space="preserve"> they are designed to contain the fish within the aquarium but allow the aquarium water to be flushed. If the fish is hosting a GMO such as a GM bacteria or virus, then the requirement will be </w:t>
      </w:r>
      <w:proofErr w:type="gramStart"/>
      <w:r w:rsidRPr="00451A3E">
        <w:t>similar to</w:t>
      </w:r>
      <w:proofErr w:type="gramEnd"/>
      <w:r w:rsidRPr="00451A3E">
        <w:t xml:space="preserve"> the Quarantine requirement.</w:t>
      </w:r>
    </w:p>
    <w:p w14:paraId="03B8D741" w14:textId="2CC1ADEC" w:rsidR="00030009" w:rsidRPr="00451A3E" w:rsidRDefault="00030009" w:rsidP="00451A3E">
      <w:r w:rsidRPr="00451A3E">
        <w:t>The Review also understood that both sets of requirements were based on the AS/NZS standards but with a tighter focus on managing relevant risks — for example, AS/NZS</w:t>
      </w:r>
      <w:r w:rsidR="00451A3E" w:rsidRPr="00451A3E">
        <w:t xml:space="preserve"> </w:t>
      </w:r>
      <w:r w:rsidRPr="00451A3E">
        <w:t>2243 also addresses OH&amp;S issues.</w:t>
      </w:r>
    </w:p>
    <w:p w14:paraId="1174B011" w14:textId="77777777" w:rsidR="00030009" w:rsidRPr="00451A3E" w:rsidRDefault="00030009" w:rsidP="00451A3E">
      <w:r w:rsidRPr="00451A3E">
        <w:t>The Review heard that the OGTR and AQIS are currently seeking to harmonise their guidelines where possible. The Review supports this work and after these guidelines are harmonised recommends that the OGTR and AQIS establish a system of single audits to meet the needs of both organisations, thereby reducing the regulatory burden.</w:t>
      </w:r>
    </w:p>
    <w:p w14:paraId="5F5E16E8" w14:textId="77777777" w:rsidR="00030009" w:rsidRPr="00451A3E" w:rsidRDefault="00030009" w:rsidP="00451A3E">
      <w:r w:rsidRPr="00451A3E">
        <w:t xml:space="preserve">Accredited organisations also expressed some confusion about the possibility of seeking variations to the guidelines where they believed the facility could achieve a similar outcome </w:t>
      </w:r>
      <w:r w:rsidRPr="00451A3E">
        <w:lastRenderedPageBreak/>
        <w:t>to the stated requirement by a different means. Some organisations had successfully obtained approval for variations while others did not appear to know it was possible.</w:t>
      </w:r>
    </w:p>
    <w:p w14:paraId="5C4F5356" w14:textId="77777777" w:rsidR="00030009" w:rsidRPr="00451A3E" w:rsidRDefault="00030009" w:rsidP="00451A3E">
      <w:r w:rsidRPr="00451A3E">
        <w:t>The Review concluded this confusion could be minimised by:</w:t>
      </w:r>
    </w:p>
    <w:p w14:paraId="6A3D01D3" w14:textId="77777777" w:rsidR="00030009" w:rsidRPr="00451A3E" w:rsidRDefault="00030009" w:rsidP="009F018E">
      <w:pPr>
        <w:pStyle w:val="ListParagraph"/>
        <w:numPr>
          <w:ilvl w:val="0"/>
          <w:numId w:val="20"/>
        </w:numPr>
      </w:pPr>
      <w:r w:rsidRPr="00451A3E">
        <w:t>providing some information and guidance on variations to accredited organisations; and</w:t>
      </w:r>
    </w:p>
    <w:p w14:paraId="417BF7F5" w14:textId="77777777" w:rsidR="00030009" w:rsidRPr="00451A3E" w:rsidRDefault="00030009" w:rsidP="009F018E">
      <w:pPr>
        <w:pStyle w:val="ListParagraph"/>
        <w:numPr>
          <w:ilvl w:val="0"/>
          <w:numId w:val="20"/>
        </w:numPr>
      </w:pPr>
      <w:r w:rsidRPr="00451A3E">
        <w:t>introducing more outcome focused language to the guidelines (the Review was aware that the Regulator had moved in this direction with her revised guidelines and encourages her to go further).</w:t>
      </w:r>
    </w:p>
    <w:p w14:paraId="285CF456" w14:textId="77777777" w:rsidR="00030009" w:rsidRDefault="00030009" w:rsidP="00451A3E">
      <w:pPr>
        <w:pStyle w:val="Recommendation"/>
        <w:rPr>
          <w:rFonts w:ascii="StoneSerifLT-SemiboldItalic" w:hAnsi="StoneSerifLT-SemiboldItalic" w:cs="StoneSerifLT-SemiboldItalic"/>
          <w:sz w:val="20"/>
          <w:szCs w:val="20"/>
        </w:rPr>
      </w:pPr>
      <w:r w:rsidRPr="00030009">
        <w:t>Recommendation 6.3: The Review recommends that the OGTR</w:t>
      </w:r>
      <w:r>
        <w:t xml:space="preserve"> </w:t>
      </w:r>
      <w:r w:rsidRPr="00030009">
        <w:t>certification guidelines and the AQIS guidelines be harmonised as far as</w:t>
      </w:r>
      <w:r>
        <w:t xml:space="preserve"> </w:t>
      </w:r>
      <w:r w:rsidRPr="00030009">
        <w:t>possible and that the OGTR and AQIS establish a system of single audits</w:t>
      </w:r>
      <w:r>
        <w:t xml:space="preserve"> </w:t>
      </w:r>
      <w:r w:rsidRPr="00030009">
        <w:t>to meet the needs of both organisations as soon as practicable</w:t>
      </w:r>
      <w:r w:rsidRPr="00030009">
        <w:rPr>
          <w:rFonts w:ascii="StoneSerifLT-SemiboldItalic" w:hAnsi="StoneSerifLT-SemiboldItalic" w:cs="StoneSerifLT-SemiboldItalic"/>
          <w:sz w:val="20"/>
          <w:szCs w:val="20"/>
        </w:rPr>
        <w:t>.</w:t>
      </w:r>
    </w:p>
    <w:p w14:paraId="1F2D5B9E" w14:textId="77777777" w:rsidR="00030009" w:rsidRPr="00030009" w:rsidRDefault="00030009" w:rsidP="00451A3E">
      <w:pPr>
        <w:pStyle w:val="Recommendation"/>
      </w:pPr>
      <w:r w:rsidRPr="00030009">
        <w:t>Recommendation 6.4: The Review recommends that the</w:t>
      </w:r>
      <w:r>
        <w:t xml:space="preserve"> </w:t>
      </w:r>
      <w:r w:rsidRPr="00451A3E">
        <w:t>harmonisation</w:t>
      </w:r>
      <w:r w:rsidRPr="00030009">
        <w:t xml:space="preserve"> exercise be used as an opportunity to ensure that the</w:t>
      </w:r>
      <w:r>
        <w:t xml:space="preserve"> </w:t>
      </w:r>
      <w:r w:rsidRPr="00030009">
        <w:t>outcome f</w:t>
      </w:r>
      <w:r>
        <w:t xml:space="preserve">ocussed language </w:t>
      </w:r>
      <w:proofErr w:type="gramStart"/>
      <w:r>
        <w:t>in</w:t>
      </w:r>
      <w:proofErr w:type="gramEnd"/>
      <w:r>
        <w:t xml:space="preserve"> the certifi</w:t>
      </w:r>
      <w:r w:rsidRPr="00030009">
        <w:t>cation</w:t>
      </w:r>
      <w:r>
        <w:t xml:space="preserve"> </w:t>
      </w:r>
      <w:r w:rsidRPr="00030009">
        <w:t>guidelines is used to</w:t>
      </w:r>
      <w:r>
        <w:t xml:space="preserve"> </w:t>
      </w:r>
      <w:r w:rsidRPr="00030009">
        <w:t>the maximum extent possible.</w:t>
      </w:r>
    </w:p>
    <w:p w14:paraId="3D254B5F" w14:textId="77777777" w:rsidR="00030009" w:rsidRDefault="00030009" w:rsidP="00451A3E">
      <w:pPr>
        <w:pStyle w:val="Recommendation"/>
      </w:pPr>
      <w:r w:rsidRPr="00030009">
        <w:t>Recommendation 6.5: The Review recommends that the Regulator</w:t>
      </w:r>
      <w:r>
        <w:t xml:space="preserve"> </w:t>
      </w:r>
      <w:r w:rsidRPr="00030009">
        <w:t>develop information and guidance for accredited organisations on</w:t>
      </w:r>
      <w:r>
        <w:t xml:space="preserve"> </w:t>
      </w:r>
      <w:r w:rsidRPr="00451A3E">
        <w:t>obtaining</w:t>
      </w:r>
      <w:r>
        <w:t xml:space="preserve"> certifi</w:t>
      </w:r>
      <w:r w:rsidRPr="00030009">
        <w:t>cation variations.</w:t>
      </w:r>
    </w:p>
    <w:p w14:paraId="09286458" w14:textId="77777777" w:rsidR="00030009" w:rsidRPr="00030009" w:rsidRDefault="00030009" w:rsidP="00451A3E">
      <w:pPr>
        <w:pStyle w:val="Heading3"/>
      </w:pPr>
      <w:r w:rsidRPr="00030009">
        <w:t>Accreditation guidelines</w:t>
      </w:r>
    </w:p>
    <w:p w14:paraId="6C0687F6" w14:textId="77777777" w:rsidR="00030009" w:rsidRPr="00451A3E" w:rsidRDefault="00030009" w:rsidP="00451A3E">
      <w:r w:rsidRPr="00451A3E">
        <w:t>For dealings other than those that fall in the exempt category, the work must be conducted either:</w:t>
      </w:r>
    </w:p>
    <w:p w14:paraId="519ACD4B" w14:textId="6BBB1A06" w:rsidR="00030009" w:rsidRPr="00451A3E" w:rsidRDefault="00030009" w:rsidP="009F018E">
      <w:pPr>
        <w:pStyle w:val="ListParagraph"/>
        <w:numPr>
          <w:ilvl w:val="0"/>
          <w:numId w:val="21"/>
        </w:numPr>
      </w:pPr>
      <w:r w:rsidRPr="00451A3E">
        <w:t>by an organisation that is accredited for the purpose by the Regulator (it is a condition of accreditation that the organisation maintain an IBC); or</w:t>
      </w:r>
    </w:p>
    <w:p w14:paraId="3AC2A9DC" w14:textId="77777777" w:rsidR="00030009" w:rsidRPr="00451A3E" w:rsidRDefault="00030009" w:rsidP="009F018E">
      <w:pPr>
        <w:pStyle w:val="ListParagraph"/>
        <w:numPr>
          <w:ilvl w:val="0"/>
          <w:numId w:val="21"/>
        </w:numPr>
      </w:pPr>
      <w:r w:rsidRPr="00451A3E">
        <w:t>by an organisation that has access to the IBC of an accredited organisation.</w:t>
      </w:r>
    </w:p>
    <w:p w14:paraId="3A003689" w14:textId="03E238D7" w:rsidR="00030009" w:rsidRPr="00451A3E" w:rsidRDefault="00030009" w:rsidP="00451A3E">
      <w:r w:rsidRPr="00451A3E">
        <w:t>It is the IBC that reviews all applications going to the Regulator and all monitoring and compliance activities are done with the assistance of the IBC. Communication from the OGTR to the accredited organisation is usually via the IBC.</w:t>
      </w:r>
    </w:p>
    <w:p w14:paraId="353901C8" w14:textId="18AB4FDF" w:rsidR="00030009" w:rsidRPr="00451A3E" w:rsidRDefault="00030009" w:rsidP="00451A3E">
      <w:r w:rsidRPr="00451A3E">
        <w:t>The Regulator can impose conditions on accreditation and can vary the accreditation.</w:t>
      </w:r>
    </w:p>
    <w:p w14:paraId="67063197" w14:textId="77777777" w:rsidR="00030009" w:rsidRPr="00451A3E" w:rsidRDefault="00030009" w:rsidP="00451A3E">
      <w:r w:rsidRPr="00451A3E">
        <w:t>The Review noted that currently it is the accreditation guidelines that require the reporting of exempt dealings in the accredited organisation’s annual report.</w:t>
      </w:r>
    </w:p>
    <w:p w14:paraId="73A9692F" w14:textId="77777777" w:rsidR="00030009" w:rsidRPr="00451A3E" w:rsidRDefault="00030009" w:rsidP="00451A3E">
      <w:r w:rsidRPr="00451A3E">
        <w:t>Consistent with the recommendations on exempt dealings discussed above, the</w:t>
      </w:r>
    </w:p>
    <w:p w14:paraId="45352F87" w14:textId="77777777" w:rsidR="00030009" w:rsidRPr="00451A3E" w:rsidRDefault="00030009" w:rsidP="00451A3E">
      <w:r w:rsidRPr="00451A3E">
        <w:t>Review considered that this requirement should be removed.</w:t>
      </w:r>
    </w:p>
    <w:p w14:paraId="0A779C96" w14:textId="77777777" w:rsidR="00030009" w:rsidRPr="00451A3E" w:rsidRDefault="00030009" w:rsidP="00451A3E">
      <w:pPr>
        <w:pStyle w:val="Recommendation"/>
      </w:pPr>
      <w:r w:rsidRPr="00451A3E">
        <w:t>Recommendation 6.6: The Review recommends the removal of the requirement in the accreditation guidelines for the reporting of exempt dealings in the annual report of an accredited organisation.</w:t>
      </w:r>
    </w:p>
    <w:p w14:paraId="08F2050B" w14:textId="77777777" w:rsidR="00030009" w:rsidRPr="00F63992" w:rsidRDefault="00030009" w:rsidP="00451A3E">
      <w:pPr>
        <w:pStyle w:val="Heading3"/>
      </w:pPr>
      <w:r w:rsidRPr="00F63992">
        <w:t>Application forms</w:t>
      </w:r>
    </w:p>
    <w:p w14:paraId="002B0B28" w14:textId="77777777" w:rsidR="00030009" w:rsidRPr="00451A3E" w:rsidRDefault="00030009" w:rsidP="00451A3E">
      <w:r w:rsidRPr="00451A3E">
        <w:t>The Review considered the current application forms, noting the information required</w:t>
      </w:r>
      <w:r w:rsidR="00F63992" w:rsidRPr="00451A3E">
        <w:t xml:space="preserve"> </w:t>
      </w:r>
      <w:r w:rsidRPr="00451A3E">
        <w:t>in them was directly related to the information requirements in the regulations.</w:t>
      </w:r>
    </w:p>
    <w:p w14:paraId="0E57BC06" w14:textId="77777777" w:rsidR="00030009" w:rsidRPr="00451A3E" w:rsidRDefault="00030009" w:rsidP="00451A3E">
      <w:r w:rsidRPr="00451A3E">
        <w:t>The Review heard that a concurrent review of the regulations was likely to result in</w:t>
      </w:r>
      <w:r w:rsidR="00412EDD" w:rsidRPr="00451A3E">
        <w:t xml:space="preserve"> </w:t>
      </w:r>
      <w:r w:rsidRPr="00451A3E">
        <w:t>simplified application forms. The Review supports simplifying the application forms.</w:t>
      </w:r>
    </w:p>
    <w:p w14:paraId="4349DDBD" w14:textId="77777777" w:rsidR="00030009" w:rsidRPr="00412EDD" w:rsidRDefault="00030009" w:rsidP="00451A3E">
      <w:pPr>
        <w:pStyle w:val="Heading3"/>
      </w:pPr>
      <w:r w:rsidRPr="00412EDD">
        <w:lastRenderedPageBreak/>
        <w:t>Summary</w:t>
      </w:r>
    </w:p>
    <w:p w14:paraId="64F5AD33" w14:textId="04BF17F6" w:rsidR="00412EDD" w:rsidRPr="00451A3E" w:rsidRDefault="00030009" w:rsidP="00451A3E">
      <w:r w:rsidRPr="00451A3E">
        <w:t>The Review concluded that the regulatory burden on exempt dealings and NLRDs was</w:t>
      </w:r>
      <w:r w:rsidR="00412EDD" w:rsidRPr="00451A3E">
        <w:t xml:space="preserve"> </w:t>
      </w:r>
      <w:r w:rsidRPr="00451A3E">
        <w:t xml:space="preserve">not commensurate with these </w:t>
      </w:r>
      <w:proofErr w:type="gramStart"/>
      <w:r w:rsidRPr="00451A3E">
        <w:t>low risk</w:t>
      </w:r>
      <w:proofErr w:type="gramEnd"/>
      <w:r w:rsidRPr="00451A3E">
        <w:t xml:space="preserve"> activities and has made some recommendations</w:t>
      </w:r>
      <w:r w:rsidR="00412EDD" w:rsidRPr="00451A3E">
        <w:t xml:space="preserve"> </w:t>
      </w:r>
      <w:r w:rsidRPr="00451A3E">
        <w:t>to minimise the regulatory burden. The Review also concluded that the administrative</w:t>
      </w:r>
      <w:r w:rsidR="00412EDD" w:rsidRPr="00451A3E">
        <w:t xml:space="preserve"> burden on licensed dealings (both DNIRs and DIRs) can be reduced and has made some</w:t>
      </w:r>
      <w:r w:rsidR="00451A3E" w:rsidRPr="00451A3E">
        <w:t xml:space="preserve"> </w:t>
      </w:r>
      <w:r w:rsidR="00412EDD" w:rsidRPr="00451A3E">
        <w:t>recommendations to achieve this. Table 3 summarises the changes proposed by the</w:t>
      </w:r>
      <w:r w:rsidR="00451A3E" w:rsidRPr="00451A3E">
        <w:t xml:space="preserve"> </w:t>
      </w:r>
      <w:r w:rsidR="00412EDD" w:rsidRPr="00451A3E">
        <w:t>Review to alleviate regulatory and administrative burden.</w:t>
      </w:r>
    </w:p>
    <w:p w14:paraId="40026F6B" w14:textId="17D6D53F" w:rsidR="00030009" w:rsidRDefault="00412EDD" w:rsidP="00451A3E">
      <w:pPr>
        <w:rPr>
          <w:b/>
          <w:bCs/>
        </w:rPr>
      </w:pPr>
      <w:r w:rsidRPr="00451A3E">
        <w:rPr>
          <w:b/>
          <w:bCs/>
        </w:rPr>
        <w:t>Table 3: Summary of changes proposed to alleviate regulatory and administrative burden</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519"/>
        <w:gridCol w:w="4779"/>
        <w:gridCol w:w="2718"/>
      </w:tblGrid>
      <w:tr w:rsidR="00C756D9" w:rsidRPr="00D34CDE" w14:paraId="702A024C" w14:textId="77777777" w:rsidTr="00D34CDE">
        <w:trPr>
          <w:tblHeader/>
        </w:trPr>
        <w:tc>
          <w:tcPr>
            <w:tcW w:w="0" w:type="auto"/>
            <w:shd w:val="clear" w:color="auto" w:fill="000000" w:themeFill="text1"/>
          </w:tcPr>
          <w:p w14:paraId="4398C715" w14:textId="77777777" w:rsidR="00C756D9" w:rsidRPr="00D34CDE" w:rsidRDefault="00C756D9" w:rsidP="00C756D9">
            <w:pPr>
              <w:pStyle w:val="Tableheader"/>
              <w:rPr>
                <w:sz w:val="20"/>
                <w:szCs w:val="20"/>
              </w:rPr>
            </w:pPr>
          </w:p>
        </w:tc>
        <w:tc>
          <w:tcPr>
            <w:tcW w:w="0" w:type="auto"/>
            <w:shd w:val="clear" w:color="auto" w:fill="000000" w:themeFill="text1"/>
          </w:tcPr>
          <w:p w14:paraId="571A533C" w14:textId="75D4B088" w:rsidR="00C756D9" w:rsidRPr="00D34CDE" w:rsidRDefault="00C756D9" w:rsidP="00C756D9">
            <w:pPr>
              <w:pStyle w:val="Tableheader"/>
              <w:rPr>
                <w:sz w:val="20"/>
                <w:szCs w:val="20"/>
              </w:rPr>
            </w:pPr>
            <w:r w:rsidRPr="00D34CDE">
              <w:rPr>
                <w:sz w:val="20"/>
                <w:szCs w:val="20"/>
              </w:rPr>
              <w:t>Change proposed</w:t>
            </w:r>
          </w:p>
        </w:tc>
        <w:tc>
          <w:tcPr>
            <w:tcW w:w="0" w:type="auto"/>
            <w:shd w:val="clear" w:color="auto" w:fill="000000" w:themeFill="text1"/>
          </w:tcPr>
          <w:p w14:paraId="27F80023" w14:textId="580B95BE" w:rsidR="00C756D9" w:rsidRPr="00D34CDE" w:rsidRDefault="00C756D9" w:rsidP="00C756D9">
            <w:pPr>
              <w:pStyle w:val="Tableheader"/>
              <w:rPr>
                <w:sz w:val="20"/>
                <w:szCs w:val="20"/>
              </w:rPr>
            </w:pPr>
            <w:r w:rsidRPr="00D34CDE">
              <w:rPr>
                <w:sz w:val="20"/>
                <w:szCs w:val="20"/>
              </w:rPr>
              <w:t>Action to alleviate regulatory and/or administrative burden</w:t>
            </w:r>
          </w:p>
        </w:tc>
      </w:tr>
      <w:tr w:rsidR="00C756D9" w:rsidRPr="00D34CDE" w14:paraId="090009EE" w14:textId="77777777" w:rsidTr="00D34CDE">
        <w:tc>
          <w:tcPr>
            <w:tcW w:w="0" w:type="auto"/>
          </w:tcPr>
          <w:p w14:paraId="16A717AC" w14:textId="57C835D0" w:rsidR="00C756D9" w:rsidRPr="00D34CDE" w:rsidRDefault="00C756D9" w:rsidP="00C756D9">
            <w:pPr>
              <w:rPr>
                <w:sz w:val="20"/>
                <w:szCs w:val="20"/>
              </w:rPr>
            </w:pPr>
            <w:r w:rsidRPr="00D34CDE">
              <w:rPr>
                <w:sz w:val="20"/>
                <w:szCs w:val="20"/>
              </w:rPr>
              <w:t>Exempt dealings</w:t>
            </w:r>
          </w:p>
        </w:tc>
        <w:tc>
          <w:tcPr>
            <w:tcW w:w="0" w:type="auto"/>
          </w:tcPr>
          <w:p w14:paraId="2343D0EB" w14:textId="5334DDA7" w:rsidR="00C756D9" w:rsidRPr="00D34CDE" w:rsidRDefault="00D34CDE" w:rsidP="00D34CDE">
            <w:pPr>
              <w:rPr>
                <w:sz w:val="20"/>
                <w:szCs w:val="20"/>
              </w:rPr>
            </w:pPr>
            <w:r w:rsidRPr="00D34CDE">
              <w:rPr>
                <w:sz w:val="20"/>
                <w:szCs w:val="20"/>
              </w:rPr>
              <w:t>Make exempt dealings really exempt — no requirements beyond a list of exempt dealings in regs</w:t>
            </w:r>
          </w:p>
        </w:tc>
        <w:tc>
          <w:tcPr>
            <w:tcW w:w="0" w:type="auto"/>
          </w:tcPr>
          <w:p w14:paraId="7BB27A05" w14:textId="679D1307" w:rsidR="00C756D9" w:rsidRPr="00D34CDE" w:rsidRDefault="00D34CDE" w:rsidP="009F018E">
            <w:pPr>
              <w:pStyle w:val="ListParagraph"/>
              <w:numPr>
                <w:ilvl w:val="0"/>
                <w:numId w:val="22"/>
              </w:numPr>
              <w:ind w:left="400" w:hanging="284"/>
              <w:rPr>
                <w:sz w:val="20"/>
                <w:szCs w:val="20"/>
              </w:rPr>
            </w:pPr>
            <w:r w:rsidRPr="00D34CDE">
              <w:rPr>
                <w:sz w:val="20"/>
                <w:szCs w:val="20"/>
              </w:rPr>
              <w:t>Legislative simpliﬁcation</w:t>
            </w:r>
          </w:p>
        </w:tc>
      </w:tr>
      <w:tr w:rsidR="00C756D9" w:rsidRPr="00D34CDE" w14:paraId="73347C34" w14:textId="77777777" w:rsidTr="00D34CDE">
        <w:tc>
          <w:tcPr>
            <w:tcW w:w="0" w:type="auto"/>
          </w:tcPr>
          <w:p w14:paraId="6189A987" w14:textId="7D596D7A" w:rsidR="00C756D9" w:rsidRPr="00D34CDE" w:rsidRDefault="00C756D9" w:rsidP="00C756D9">
            <w:pPr>
              <w:rPr>
                <w:sz w:val="20"/>
                <w:szCs w:val="20"/>
              </w:rPr>
            </w:pPr>
            <w:r w:rsidRPr="00D34CDE">
              <w:rPr>
                <w:sz w:val="20"/>
                <w:szCs w:val="20"/>
              </w:rPr>
              <w:t>NLRDs</w:t>
            </w:r>
          </w:p>
        </w:tc>
        <w:tc>
          <w:tcPr>
            <w:tcW w:w="0" w:type="auto"/>
          </w:tcPr>
          <w:p w14:paraId="7939977A" w14:textId="3E7C7BFA" w:rsidR="00C756D9" w:rsidRPr="00D34CDE" w:rsidRDefault="00D34CDE" w:rsidP="00C756D9">
            <w:pPr>
              <w:rPr>
                <w:sz w:val="20"/>
                <w:szCs w:val="20"/>
              </w:rPr>
            </w:pPr>
            <w:r w:rsidRPr="00D34CDE">
              <w:rPr>
                <w:sz w:val="20"/>
                <w:szCs w:val="20"/>
              </w:rPr>
              <w:t>Make exempt dealings really exempt — no requirements beyond a list of exempt dealings in regs</w:t>
            </w:r>
          </w:p>
        </w:tc>
        <w:tc>
          <w:tcPr>
            <w:tcW w:w="0" w:type="auto"/>
          </w:tcPr>
          <w:p w14:paraId="29636C01" w14:textId="1DAC3EEE" w:rsidR="00D34CDE" w:rsidRPr="00D34CDE" w:rsidRDefault="00D34CDE" w:rsidP="009F018E">
            <w:pPr>
              <w:pStyle w:val="ListParagraph"/>
              <w:numPr>
                <w:ilvl w:val="0"/>
                <w:numId w:val="22"/>
              </w:numPr>
              <w:ind w:left="400" w:hanging="284"/>
              <w:rPr>
                <w:sz w:val="20"/>
                <w:szCs w:val="20"/>
              </w:rPr>
            </w:pPr>
            <w:r w:rsidRPr="00D34CDE">
              <w:rPr>
                <w:sz w:val="20"/>
                <w:szCs w:val="20"/>
              </w:rPr>
              <w:t>Legislative simpliﬁcation</w:t>
            </w:r>
          </w:p>
          <w:p w14:paraId="317511B1" w14:textId="2C1E338C" w:rsidR="00C756D9" w:rsidRPr="00D34CDE" w:rsidRDefault="00D34CDE" w:rsidP="009F018E">
            <w:pPr>
              <w:pStyle w:val="ListParagraph"/>
              <w:numPr>
                <w:ilvl w:val="0"/>
                <w:numId w:val="22"/>
              </w:numPr>
              <w:ind w:left="400" w:hanging="284"/>
              <w:rPr>
                <w:sz w:val="20"/>
                <w:szCs w:val="20"/>
              </w:rPr>
            </w:pPr>
            <w:r w:rsidRPr="00D34CDE">
              <w:rPr>
                <w:sz w:val="20"/>
                <w:szCs w:val="20"/>
              </w:rPr>
              <w:t>Streamline process and paperwork requirements</w:t>
            </w:r>
          </w:p>
        </w:tc>
      </w:tr>
      <w:tr w:rsidR="00C756D9" w:rsidRPr="00D34CDE" w14:paraId="0F86E3B3" w14:textId="77777777" w:rsidTr="00D34CDE">
        <w:tc>
          <w:tcPr>
            <w:tcW w:w="0" w:type="auto"/>
          </w:tcPr>
          <w:p w14:paraId="3F8DCCFA" w14:textId="79AD8B6A" w:rsidR="00C756D9" w:rsidRPr="00D34CDE" w:rsidRDefault="00C756D9" w:rsidP="00C756D9">
            <w:pPr>
              <w:rPr>
                <w:sz w:val="20"/>
                <w:szCs w:val="20"/>
              </w:rPr>
            </w:pPr>
            <w:r w:rsidRPr="00D34CDE">
              <w:rPr>
                <w:sz w:val="20"/>
                <w:szCs w:val="20"/>
              </w:rPr>
              <w:t>DNIRs</w:t>
            </w:r>
          </w:p>
        </w:tc>
        <w:tc>
          <w:tcPr>
            <w:tcW w:w="0" w:type="auto"/>
          </w:tcPr>
          <w:p w14:paraId="3DFD76DA" w14:textId="18E40CD9" w:rsidR="00C756D9" w:rsidRPr="00D34CDE" w:rsidRDefault="00D34CDE" w:rsidP="00C756D9">
            <w:pPr>
              <w:rPr>
                <w:sz w:val="20"/>
                <w:szCs w:val="20"/>
              </w:rPr>
            </w:pPr>
            <w:r w:rsidRPr="00D34CDE">
              <w:rPr>
                <w:sz w:val="20"/>
                <w:szCs w:val="20"/>
              </w:rPr>
              <w:t>Time frames for variations (see chapter 5 for details)</w:t>
            </w:r>
          </w:p>
        </w:tc>
        <w:tc>
          <w:tcPr>
            <w:tcW w:w="0" w:type="auto"/>
          </w:tcPr>
          <w:p w14:paraId="3FC54F7A" w14:textId="77777777" w:rsidR="00C756D9" w:rsidRPr="00D34CDE" w:rsidRDefault="00C756D9" w:rsidP="00C756D9">
            <w:pPr>
              <w:rPr>
                <w:sz w:val="20"/>
                <w:szCs w:val="20"/>
              </w:rPr>
            </w:pPr>
          </w:p>
        </w:tc>
      </w:tr>
      <w:tr w:rsidR="00D34CDE" w:rsidRPr="00D34CDE" w14:paraId="24AF09E8" w14:textId="77777777" w:rsidTr="00D34CDE">
        <w:tc>
          <w:tcPr>
            <w:tcW w:w="0" w:type="auto"/>
          </w:tcPr>
          <w:p w14:paraId="44D9FE7A" w14:textId="798D70DE" w:rsidR="00D34CDE" w:rsidRPr="00D34CDE" w:rsidRDefault="00D34CDE" w:rsidP="00D34CDE">
            <w:pPr>
              <w:rPr>
                <w:sz w:val="20"/>
                <w:szCs w:val="20"/>
              </w:rPr>
            </w:pPr>
            <w:r w:rsidRPr="00D34CDE">
              <w:rPr>
                <w:sz w:val="20"/>
                <w:szCs w:val="20"/>
              </w:rPr>
              <w:t>DIRs</w:t>
            </w:r>
          </w:p>
        </w:tc>
        <w:tc>
          <w:tcPr>
            <w:tcW w:w="0" w:type="auto"/>
          </w:tcPr>
          <w:p w14:paraId="7A046DDA" w14:textId="0AB698E9" w:rsidR="00D34CDE" w:rsidRPr="00D34CDE" w:rsidRDefault="00D34CDE" w:rsidP="00D34CDE">
            <w:pPr>
              <w:rPr>
                <w:sz w:val="20"/>
                <w:szCs w:val="20"/>
              </w:rPr>
            </w:pPr>
            <w:r w:rsidRPr="00D34CDE">
              <w:rPr>
                <w:sz w:val="20"/>
                <w:szCs w:val="20"/>
              </w:rPr>
              <w:t>Time frames for variations Distinguish ﬁ eld trials from commercial releases and simplify information requirements for ﬁ eld trials (see chapter 5 for details)</w:t>
            </w:r>
          </w:p>
        </w:tc>
        <w:tc>
          <w:tcPr>
            <w:tcW w:w="0" w:type="auto"/>
          </w:tcPr>
          <w:p w14:paraId="16F734BE" w14:textId="40127A7A" w:rsidR="00D34CDE" w:rsidRPr="00D34CDE" w:rsidRDefault="00D34CDE" w:rsidP="009F018E">
            <w:pPr>
              <w:pStyle w:val="ListParagraph"/>
              <w:numPr>
                <w:ilvl w:val="0"/>
                <w:numId w:val="22"/>
              </w:numPr>
              <w:ind w:left="400" w:hanging="284"/>
              <w:rPr>
                <w:sz w:val="20"/>
                <w:szCs w:val="20"/>
              </w:rPr>
            </w:pPr>
            <w:r w:rsidRPr="00D34CDE">
              <w:rPr>
                <w:sz w:val="20"/>
                <w:szCs w:val="20"/>
              </w:rPr>
              <w:t>Streamline process and paperwork requirements</w:t>
            </w:r>
          </w:p>
        </w:tc>
      </w:tr>
      <w:tr w:rsidR="00D34CDE" w:rsidRPr="00D34CDE" w14:paraId="0B9A3EBB" w14:textId="77777777" w:rsidTr="00D34CDE">
        <w:tc>
          <w:tcPr>
            <w:tcW w:w="0" w:type="auto"/>
          </w:tcPr>
          <w:p w14:paraId="6A1BDB8D" w14:textId="35161755" w:rsidR="00D34CDE" w:rsidRPr="00D34CDE" w:rsidRDefault="00D34CDE" w:rsidP="00D34CDE">
            <w:pPr>
              <w:rPr>
                <w:sz w:val="20"/>
                <w:szCs w:val="20"/>
              </w:rPr>
            </w:pPr>
            <w:r w:rsidRPr="00D34CDE">
              <w:rPr>
                <w:sz w:val="20"/>
                <w:szCs w:val="20"/>
              </w:rPr>
              <w:t>Certification guidelines</w:t>
            </w:r>
          </w:p>
        </w:tc>
        <w:tc>
          <w:tcPr>
            <w:tcW w:w="0" w:type="auto"/>
          </w:tcPr>
          <w:p w14:paraId="49C29AFF" w14:textId="292CEBEC" w:rsidR="00D34CDE" w:rsidRPr="00D34CDE" w:rsidRDefault="00D34CDE" w:rsidP="00D34CDE">
            <w:pPr>
              <w:rPr>
                <w:sz w:val="20"/>
                <w:szCs w:val="20"/>
              </w:rPr>
            </w:pPr>
            <w:r w:rsidRPr="00D34CDE">
              <w:rPr>
                <w:sz w:val="20"/>
                <w:szCs w:val="20"/>
              </w:rPr>
              <w:t>Greater harmonisation with AQIS certiﬁcation guidelines and relevant Australian Standards and use outcome-focussed language Single audits by AQIS and OGTR</w:t>
            </w:r>
          </w:p>
        </w:tc>
        <w:tc>
          <w:tcPr>
            <w:tcW w:w="0" w:type="auto"/>
          </w:tcPr>
          <w:p w14:paraId="49C0FC42" w14:textId="54281769" w:rsidR="00D34CDE" w:rsidRPr="00D34CDE" w:rsidRDefault="00D34CDE" w:rsidP="009F018E">
            <w:pPr>
              <w:pStyle w:val="ListParagraph"/>
              <w:numPr>
                <w:ilvl w:val="0"/>
                <w:numId w:val="22"/>
              </w:numPr>
              <w:ind w:left="400" w:hanging="284"/>
              <w:rPr>
                <w:sz w:val="20"/>
                <w:szCs w:val="20"/>
              </w:rPr>
            </w:pPr>
            <w:r w:rsidRPr="00D34CDE">
              <w:rPr>
                <w:sz w:val="20"/>
                <w:szCs w:val="20"/>
              </w:rPr>
              <w:t>Streamline process and paperwork requirements</w:t>
            </w:r>
          </w:p>
        </w:tc>
      </w:tr>
      <w:tr w:rsidR="00D34CDE" w:rsidRPr="00D34CDE" w14:paraId="12A126B8" w14:textId="77777777" w:rsidTr="00D34CDE">
        <w:tc>
          <w:tcPr>
            <w:tcW w:w="0" w:type="auto"/>
          </w:tcPr>
          <w:p w14:paraId="37653BBD" w14:textId="5C198DE6" w:rsidR="00D34CDE" w:rsidRPr="00D34CDE" w:rsidRDefault="00D34CDE" w:rsidP="00D34CDE">
            <w:pPr>
              <w:rPr>
                <w:sz w:val="20"/>
                <w:szCs w:val="20"/>
              </w:rPr>
            </w:pPr>
            <w:r w:rsidRPr="00D34CDE">
              <w:rPr>
                <w:sz w:val="20"/>
                <w:szCs w:val="20"/>
              </w:rPr>
              <w:t>Accreditation guidelines</w:t>
            </w:r>
          </w:p>
        </w:tc>
        <w:tc>
          <w:tcPr>
            <w:tcW w:w="0" w:type="auto"/>
          </w:tcPr>
          <w:p w14:paraId="41B19727" w14:textId="306CDC7C" w:rsidR="00D34CDE" w:rsidRPr="00D34CDE" w:rsidRDefault="00D34CDE" w:rsidP="00D34CDE">
            <w:pPr>
              <w:rPr>
                <w:sz w:val="20"/>
                <w:szCs w:val="20"/>
              </w:rPr>
            </w:pPr>
            <w:r w:rsidRPr="00D34CDE">
              <w:rPr>
                <w:sz w:val="20"/>
                <w:szCs w:val="20"/>
              </w:rPr>
              <w:t>Remove reporting requirement for exempt dealings</w:t>
            </w:r>
          </w:p>
        </w:tc>
        <w:tc>
          <w:tcPr>
            <w:tcW w:w="0" w:type="auto"/>
          </w:tcPr>
          <w:p w14:paraId="550096AC" w14:textId="2FF62B24" w:rsidR="00D34CDE" w:rsidRPr="00D34CDE" w:rsidRDefault="00D34CDE" w:rsidP="009F018E">
            <w:pPr>
              <w:pStyle w:val="ListParagraph"/>
              <w:numPr>
                <w:ilvl w:val="0"/>
                <w:numId w:val="22"/>
              </w:numPr>
              <w:ind w:left="400" w:hanging="284"/>
              <w:rPr>
                <w:sz w:val="20"/>
                <w:szCs w:val="20"/>
              </w:rPr>
            </w:pPr>
            <w:r w:rsidRPr="00D34CDE">
              <w:rPr>
                <w:sz w:val="20"/>
                <w:szCs w:val="20"/>
              </w:rPr>
              <w:t>Streamline process and paperwork requirements</w:t>
            </w:r>
          </w:p>
        </w:tc>
      </w:tr>
      <w:tr w:rsidR="00D34CDE" w:rsidRPr="00D34CDE" w14:paraId="4B4FAEC9" w14:textId="77777777" w:rsidTr="00D34CDE">
        <w:tc>
          <w:tcPr>
            <w:tcW w:w="0" w:type="auto"/>
          </w:tcPr>
          <w:p w14:paraId="4B571957" w14:textId="51087BE4" w:rsidR="00D34CDE" w:rsidRPr="00D34CDE" w:rsidRDefault="00D34CDE" w:rsidP="00D34CDE">
            <w:pPr>
              <w:rPr>
                <w:sz w:val="20"/>
                <w:szCs w:val="20"/>
              </w:rPr>
            </w:pPr>
            <w:r w:rsidRPr="00D34CDE">
              <w:rPr>
                <w:sz w:val="20"/>
                <w:szCs w:val="20"/>
              </w:rPr>
              <w:t>Application format</w:t>
            </w:r>
          </w:p>
        </w:tc>
        <w:tc>
          <w:tcPr>
            <w:tcW w:w="0" w:type="auto"/>
          </w:tcPr>
          <w:p w14:paraId="6773F6CB" w14:textId="7FF15ADA" w:rsidR="00D34CDE" w:rsidRPr="00D34CDE" w:rsidRDefault="00D34CDE" w:rsidP="00D34CDE">
            <w:pPr>
              <w:rPr>
                <w:sz w:val="20"/>
                <w:szCs w:val="20"/>
              </w:rPr>
            </w:pPr>
            <w:r w:rsidRPr="00D34CDE">
              <w:rPr>
                <w:sz w:val="20"/>
                <w:szCs w:val="20"/>
              </w:rPr>
              <w:t>Redesign application forms</w:t>
            </w:r>
          </w:p>
        </w:tc>
        <w:tc>
          <w:tcPr>
            <w:tcW w:w="0" w:type="auto"/>
          </w:tcPr>
          <w:p w14:paraId="66CFC1EE" w14:textId="31AB3085" w:rsidR="00D34CDE" w:rsidRPr="00D34CDE" w:rsidRDefault="00D34CDE" w:rsidP="009F018E">
            <w:pPr>
              <w:pStyle w:val="ListParagraph"/>
              <w:numPr>
                <w:ilvl w:val="0"/>
                <w:numId w:val="22"/>
              </w:numPr>
              <w:ind w:left="400" w:hanging="284"/>
              <w:rPr>
                <w:sz w:val="20"/>
                <w:szCs w:val="20"/>
              </w:rPr>
            </w:pPr>
            <w:r w:rsidRPr="00D34CDE">
              <w:rPr>
                <w:sz w:val="20"/>
                <w:szCs w:val="20"/>
              </w:rPr>
              <w:t>Streamline process and paperwork requirements</w:t>
            </w:r>
          </w:p>
        </w:tc>
      </w:tr>
      <w:tr w:rsidR="00D34CDE" w:rsidRPr="00D34CDE" w14:paraId="2CFF8691" w14:textId="77777777" w:rsidTr="00D34CDE">
        <w:tc>
          <w:tcPr>
            <w:tcW w:w="0" w:type="auto"/>
          </w:tcPr>
          <w:p w14:paraId="1CDD5930" w14:textId="5395A1D8" w:rsidR="00D34CDE" w:rsidRPr="00D34CDE" w:rsidRDefault="00D34CDE" w:rsidP="00D34CDE">
            <w:pPr>
              <w:rPr>
                <w:sz w:val="20"/>
                <w:szCs w:val="20"/>
              </w:rPr>
            </w:pPr>
            <w:r w:rsidRPr="00D34CDE">
              <w:rPr>
                <w:sz w:val="20"/>
                <w:szCs w:val="20"/>
              </w:rPr>
              <w:t>Variations</w:t>
            </w:r>
          </w:p>
        </w:tc>
        <w:tc>
          <w:tcPr>
            <w:tcW w:w="0" w:type="auto"/>
          </w:tcPr>
          <w:p w14:paraId="72B34034" w14:textId="1CBC58AB" w:rsidR="00D34CDE" w:rsidRPr="00D34CDE" w:rsidRDefault="00D34CDE" w:rsidP="00D34CDE">
            <w:pPr>
              <w:rPr>
                <w:sz w:val="20"/>
                <w:szCs w:val="20"/>
              </w:rPr>
            </w:pPr>
            <w:r w:rsidRPr="00D34CDE">
              <w:rPr>
                <w:sz w:val="20"/>
                <w:szCs w:val="20"/>
              </w:rPr>
              <w:t>Introduce statutory time limit</w:t>
            </w:r>
          </w:p>
        </w:tc>
        <w:tc>
          <w:tcPr>
            <w:tcW w:w="0" w:type="auto"/>
          </w:tcPr>
          <w:p w14:paraId="61B30CD1" w14:textId="62AF4E83" w:rsidR="00D34CDE" w:rsidRPr="00D34CDE" w:rsidRDefault="00D34CDE" w:rsidP="009F018E">
            <w:pPr>
              <w:pStyle w:val="ListParagraph"/>
              <w:numPr>
                <w:ilvl w:val="0"/>
                <w:numId w:val="22"/>
              </w:numPr>
              <w:ind w:left="400" w:hanging="284"/>
              <w:rPr>
                <w:sz w:val="20"/>
                <w:szCs w:val="20"/>
              </w:rPr>
            </w:pPr>
            <w:r w:rsidRPr="00D34CDE">
              <w:rPr>
                <w:sz w:val="20"/>
                <w:szCs w:val="20"/>
              </w:rPr>
              <w:t>Introduce statutory time limit</w:t>
            </w:r>
          </w:p>
        </w:tc>
      </w:tr>
    </w:tbl>
    <w:p w14:paraId="28DAC63B" w14:textId="77777777" w:rsidR="00D34CDE" w:rsidRPr="00D34CDE" w:rsidRDefault="00D34CDE" w:rsidP="00D34CDE">
      <w:r w:rsidRPr="00D34CDE">
        <w:br w:type="page"/>
      </w:r>
    </w:p>
    <w:p w14:paraId="0DD281E4" w14:textId="73040F1B" w:rsidR="00412EDD" w:rsidRPr="00D34CDE" w:rsidRDefault="00D34D0C" w:rsidP="00D34CDE">
      <w:pPr>
        <w:pStyle w:val="Heading1"/>
      </w:pPr>
      <w:bookmarkStart w:id="66" w:name="_Toc95326300"/>
      <w:r>
        <w:lastRenderedPageBreak/>
        <w:t xml:space="preserve">Chapter 7: </w:t>
      </w:r>
      <w:r w:rsidR="00412EDD" w:rsidRPr="00D34CDE">
        <w:t>INTERFACE WITH OTHER SYSTEMS</w:t>
      </w:r>
      <w:bookmarkEnd w:id="66"/>
    </w:p>
    <w:p w14:paraId="0E4CCAFB" w14:textId="77777777" w:rsidR="005C4519" w:rsidRPr="005C4519" w:rsidRDefault="005C4519" w:rsidP="0046334C">
      <w:pPr>
        <w:shd w:val="clear" w:color="auto" w:fill="E2EFD9" w:themeFill="accent6" w:themeFillTint="33"/>
        <w:rPr>
          <w:b/>
          <w:bCs/>
        </w:rPr>
      </w:pPr>
      <w:r w:rsidRPr="005C4519">
        <w:rPr>
          <w:b/>
          <w:bCs/>
        </w:rPr>
        <w:t>Term of reference 8 and 9:</w:t>
      </w:r>
    </w:p>
    <w:p w14:paraId="3313BEB9" w14:textId="4F1F9C7E" w:rsidR="005C4519" w:rsidRPr="005C4519" w:rsidRDefault="00F62A56" w:rsidP="0046334C">
      <w:pPr>
        <w:shd w:val="clear" w:color="auto" w:fill="E2EFD9" w:themeFill="accent6" w:themeFillTint="33"/>
      </w:pPr>
      <w:r>
        <w:t xml:space="preserve">8. </w:t>
      </w:r>
      <w:r w:rsidR="005C4519" w:rsidRPr="005C4519">
        <w:t xml:space="preserve">Examine the nationally consistent scheme for gene technology regulation in Australia and identify any need for, and ways to achieve, improvements in its consistency, </w:t>
      </w:r>
      <w:proofErr w:type="gramStart"/>
      <w:r w:rsidR="005C4519" w:rsidRPr="005C4519">
        <w:t>efficiency</w:t>
      </w:r>
      <w:proofErr w:type="gramEnd"/>
      <w:r w:rsidR="005C4519" w:rsidRPr="005C4519">
        <w:t xml:space="preserve"> and coordination.</w:t>
      </w:r>
    </w:p>
    <w:p w14:paraId="17889A3F" w14:textId="23E049BC" w:rsidR="005C4519" w:rsidRPr="005C4519" w:rsidRDefault="00F62A56" w:rsidP="0046334C">
      <w:pPr>
        <w:shd w:val="clear" w:color="auto" w:fill="E2EFD9" w:themeFill="accent6" w:themeFillTint="33"/>
      </w:pPr>
      <w:r>
        <w:t>9.</w:t>
      </w:r>
      <w:r w:rsidR="0046334C">
        <w:t xml:space="preserve"> </w:t>
      </w:r>
      <w:r w:rsidR="005C4519" w:rsidRPr="005C4519">
        <w:t>Examine the interface between the Act and other Acts and schemes (either Australian Government or State and Territory) that regulate gene technology and gene technology products. Identify any discrepancies including regulatory gaps and areas needing consistency and harmonisation of provisions.</w:t>
      </w:r>
    </w:p>
    <w:p w14:paraId="7E005F40" w14:textId="77777777" w:rsidR="00124D02" w:rsidRPr="0046334C" w:rsidRDefault="00124D02" w:rsidP="0046334C">
      <w:pPr>
        <w:pStyle w:val="Heading2"/>
      </w:pPr>
      <w:bookmarkStart w:id="67" w:name="_Toc95326301"/>
      <w:r w:rsidRPr="0046334C">
        <w:t>Improvements in consistency, efficiency and coordination between Commonwealth Regulators of GMOs and GM products</w:t>
      </w:r>
      <w:bookmarkEnd w:id="67"/>
    </w:p>
    <w:p w14:paraId="615BAF32" w14:textId="77777777" w:rsidR="00124D02" w:rsidRPr="0046334C" w:rsidRDefault="00124D02" w:rsidP="0046334C">
      <w:r w:rsidRPr="0046334C">
        <w:t>The Review heard from industry that there was a perceived sense of overlap and duplication between the Commonwealth regulators.</w:t>
      </w:r>
    </w:p>
    <w:p w14:paraId="2DE61B08" w14:textId="77777777" w:rsidR="00124D02" w:rsidRPr="0046334C" w:rsidRDefault="00124D02" w:rsidP="0046334C">
      <w:r w:rsidRPr="0046334C">
        <w:t>The Review interviewed the other regulatory agencies and concluded that, within their legislative constraints, they work well together with the Regulator to minimise duplication and ensure that the system works seamlessly.</w:t>
      </w:r>
    </w:p>
    <w:p w14:paraId="10BAF8B5" w14:textId="77777777" w:rsidR="00124D02" w:rsidRPr="0046334C" w:rsidRDefault="00124D02" w:rsidP="0046334C">
      <w:r w:rsidRPr="0046334C">
        <w:t>However, the Review was concerned that the good relationships may be personality dependent and concluded that it would be desirable to establish a formal consultation mechanism.</w:t>
      </w:r>
    </w:p>
    <w:p w14:paraId="15FD8586" w14:textId="77777777" w:rsidR="00124D02" w:rsidRPr="0046334C" w:rsidRDefault="00124D02" w:rsidP="0046334C">
      <w:pPr>
        <w:pStyle w:val="Recommendation"/>
      </w:pPr>
      <w:r w:rsidRPr="0046334C">
        <w:t xml:space="preserve">Recommendation 7.1: The Review recommends the establishment of a regulators’ forum to exchange information between the prescribed agencies and the Regulator, to ensure that duplication is </w:t>
      </w:r>
      <w:proofErr w:type="gramStart"/>
      <w:r w:rsidRPr="0046334C">
        <w:t>minimised</w:t>
      </w:r>
      <w:proofErr w:type="gramEnd"/>
      <w:r w:rsidRPr="0046334C">
        <w:t xml:space="preserve"> and the systems work seamlessly between each other.</w:t>
      </w:r>
    </w:p>
    <w:p w14:paraId="7D03EF8C" w14:textId="77777777" w:rsidR="00124D02" w:rsidRPr="0046334C" w:rsidRDefault="00124D02" w:rsidP="0046334C">
      <w:r w:rsidRPr="0046334C">
        <w:t>In addition, there may be a need for more effective communication with applicants and the public to alleviate the sense of overlap and/or duplication.</w:t>
      </w:r>
    </w:p>
    <w:p w14:paraId="5FCBE93C" w14:textId="77777777" w:rsidR="009E6EAE" w:rsidRPr="0046334C" w:rsidRDefault="00124D02" w:rsidP="0046334C">
      <w:r w:rsidRPr="0046334C">
        <w:t>The Review examined key provisions in the relevant legislation as summarised in table 4.</w:t>
      </w:r>
    </w:p>
    <w:p w14:paraId="2CBF82B5" w14:textId="77777777" w:rsidR="009E6EAE" w:rsidRPr="0046334C" w:rsidRDefault="009E6EAE" w:rsidP="0046334C">
      <w:r w:rsidRPr="0046334C">
        <w:br w:type="page"/>
      </w:r>
    </w:p>
    <w:p w14:paraId="33C94CA7" w14:textId="3C1EDC66" w:rsidR="003374E9" w:rsidRPr="003374E9" w:rsidRDefault="003374E9" w:rsidP="00124D02">
      <w:pPr>
        <w:autoSpaceDE w:val="0"/>
        <w:autoSpaceDN w:val="0"/>
        <w:adjustRightInd w:val="0"/>
        <w:spacing w:after="0" w:line="240" w:lineRule="auto"/>
        <w:rPr>
          <w:b/>
          <w:bCs/>
          <w:noProof/>
          <w:lang w:eastAsia="en-AU"/>
        </w:rPr>
      </w:pPr>
      <w:r w:rsidRPr="003374E9">
        <w:rPr>
          <w:b/>
          <w:bCs/>
          <w:noProof/>
          <w:lang w:eastAsia="en-AU"/>
        </w:rPr>
        <w:lastRenderedPageBreak/>
        <w:t>Table 4: Comparisons across Commonwealth regulatory agencies of various provisions</w:t>
      </w:r>
    </w:p>
    <w:p w14:paraId="4A062069" w14:textId="5A3EBC43" w:rsidR="009E6EAE" w:rsidRDefault="009E6EAE" w:rsidP="00124D02">
      <w:pPr>
        <w:autoSpaceDE w:val="0"/>
        <w:autoSpaceDN w:val="0"/>
        <w:adjustRightInd w:val="0"/>
        <w:spacing w:after="0" w:line="240" w:lineRule="auto"/>
        <w:rPr>
          <w:rFonts w:asciiTheme="minorHAnsi" w:hAnsiTheme="minorHAnsi" w:cstheme="minorHAnsi"/>
        </w:rPr>
      </w:pPr>
      <w:r>
        <w:rPr>
          <w:noProof/>
          <w:lang w:eastAsia="en-AU"/>
        </w:rPr>
        <w:drawing>
          <wp:inline distT="0" distB="0" distL="0" distR="0" wp14:anchorId="78D952EF" wp14:editId="40391D8B">
            <wp:extent cx="5038725" cy="7198822"/>
            <wp:effectExtent l="0" t="0" r="0" b="2540"/>
            <wp:docPr id="25" name="Picture 25" descr="Table 4: Comparison across Commonwealth regulatory agencies of various provi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 4: Comparison across Commonwealth regulatory agencies of various provisions"/>
                    <pic:cNvPicPr/>
                  </pic:nvPicPr>
                  <pic:blipFill rotWithShape="1">
                    <a:blip r:embed="rId15"/>
                    <a:srcRect b="1334"/>
                    <a:stretch/>
                  </pic:blipFill>
                  <pic:spPr bwMode="auto">
                    <a:xfrm>
                      <a:off x="0" y="0"/>
                      <a:ext cx="5038725" cy="7198822"/>
                    </a:xfrm>
                    <a:prstGeom prst="rect">
                      <a:avLst/>
                    </a:prstGeom>
                    <a:ln>
                      <a:noFill/>
                    </a:ln>
                    <a:extLst>
                      <a:ext uri="{53640926-AAD7-44D8-BBD7-CCE9431645EC}">
                        <a14:shadowObscured xmlns:a14="http://schemas.microsoft.com/office/drawing/2010/main"/>
                      </a:ext>
                    </a:extLst>
                  </pic:spPr>
                </pic:pic>
              </a:graphicData>
            </a:graphic>
          </wp:inline>
        </w:drawing>
      </w:r>
    </w:p>
    <w:p w14:paraId="681640FF" w14:textId="77777777" w:rsidR="009E6EAE" w:rsidRDefault="009E6EAE" w:rsidP="009E6EAE">
      <w:r>
        <w:br w:type="page"/>
      </w:r>
    </w:p>
    <w:p w14:paraId="38C86335" w14:textId="77777777" w:rsidR="009E6EAE" w:rsidRDefault="009E6EAE" w:rsidP="00124D02">
      <w:pPr>
        <w:autoSpaceDE w:val="0"/>
        <w:autoSpaceDN w:val="0"/>
        <w:adjustRightInd w:val="0"/>
        <w:spacing w:after="0" w:line="240" w:lineRule="auto"/>
        <w:rPr>
          <w:rFonts w:asciiTheme="minorHAnsi" w:hAnsiTheme="minorHAnsi" w:cstheme="minorHAnsi"/>
        </w:rPr>
      </w:pPr>
      <w:r>
        <w:rPr>
          <w:noProof/>
          <w:lang w:eastAsia="en-AU"/>
        </w:rPr>
        <w:lastRenderedPageBreak/>
        <w:drawing>
          <wp:inline distT="0" distB="0" distL="0" distR="0" wp14:anchorId="39DC113E" wp14:editId="30A72434">
            <wp:extent cx="5105400" cy="7182196"/>
            <wp:effectExtent l="0" t="0" r="0" b="0"/>
            <wp:docPr id="26" name="Picture 26" descr="Table 4: continues&#10;&#10;Comparison across commonwealth regulatory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 4: continues&#10;&#10;Comparison across commonwealth regulatory agencies"/>
                    <pic:cNvPicPr/>
                  </pic:nvPicPr>
                  <pic:blipFill rotWithShape="1">
                    <a:blip r:embed="rId16"/>
                    <a:srcRect b="5509"/>
                    <a:stretch/>
                  </pic:blipFill>
                  <pic:spPr bwMode="auto">
                    <a:xfrm>
                      <a:off x="0" y="0"/>
                      <a:ext cx="5105400" cy="7182196"/>
                    </a:xfrm>
                    <a:prstGeom prst="rect">
                      <a:avLst/>
                    </a:prstGeom>
                    <a:ln>
                      <a:noFill/>
                    </a:ln>
                    <a:extLst>
                      <a:ext uri="{53640926-AAD7-44D8-BBD7-CCE9431645EC}">
                        <a14:shadowObscured xmlns:a14="http://schemas.microsoft.com/office/drawing/2010/main"/>
                      </a:ext>
                    </a:extLst>
                  </pic:spPr>
                </pic:pic>
              </a:graphicData>
            </a:graphic>
          </wp:inline>
        </w:drawing>
      </w:r>
    </w:p>
    <w:p w14:paraId="7A92C9A8" w14:textId="77777777" w:rsidR="009E6EAE" w:rsidRDefault="009E6EAE" w:rsidP="009E6EAE">
      <w:r>
        <w:br w:type="page"/>
      </w:r>
    </w:p>
    <w:p w14:paraId="6C4F3754" w14:textId="77777777" w:rsidR="009E6EAE" w:rsidRDefault="009E6EAE" w:rsidP="00124D02">
      <w:pPr>
        <w:autoSpaceDE w:val="0"/>
        <w:autoSpaceDN w:val="0"/>
        <w:adjustRightInd w:val="0"/>
        <w:spacing w:after="0" w:line="240" w:lineRule="auto"/>
        <w:rPr>
          <w:rFonts w:asciiTheme="minorHAnsi" w:hAnsiTheme="minorHAnsi" w:cstheme="minorHAnsi"/>
        </w:rPr>
      </w:pPr>
      <w:r>
        <w:rPr>
          <w:noProof/>
          <w:lang w:eastAsia="en-AU"/>
        </w:rPr>
        <w:lastRenderedPageBreak/>
        <w:drawing>
          <wp:inline distT="0" distB="0" distL="0" distR="0" wp14:anchorId="51050C42" wp14:editId="1A6C2F1D">
            <wp:extent cx="4286250" cy="7132320"/>
            <wp:effectExtent l="0" t="0" r="0" b="0"/>
            <wp:docPr id="27" name="Picture 27" descr="Table 4: continues&#10;&#10;Comparison across Commonwealth regulatory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 4: continues&#10;&#10;Comparison across Commonwealth regulatory agencies"/>
                    <pic:cNvPicPr/>
                  </pic:nvPicPr>
                  <pic:blipFill rotWithShape="1">
                    <a:blip r:embed="rId17"/>
                    <a:srcRect b="1861"/>
                    <a:stretch/>
                  </pic:blipFill>
                  <pic:spPr bwMode="auto">
                    <a:xfrm>
                      <a:off x="0" y="0"/>
                      <a:ext cx="4286250" cy="7132320"/>
                    </a:xfrm>
                    <a:prstGeom prst="rect">
                      <a:avLst/>
                    </a:prstGeom>
                    <a:ln>
                      <a:noFill/>
                    </a:ln>
                    <a:extLst>
                      <a:ext uri="{53640926-AAD7-44D8-BBD7-CCE9431645EC}">
                        <a14:shadowObscured xmlns:a14="http://schemas.microsoft.com/office/drawing/2010/main"/>
                      </a:ext>
                    </a:extLst>
                  </pic:spPr>
                </pic:pic>
              </a:graphicData>
            </a:graphic>
          </wp:inline>
        </w:drawing>
      </w:r>
    </w:p>
    <w:p w14:paraId="360A70C0" w14:textId="77777777" w:rsidR="009E6EAE" w:rsidRDefault="009E6EAE" w:rsidP="009E6EAE">
      <w:r>
        <w:br w:type="page"/>
      </w:r>
    </w:p>
    <w:p w14:paraId="49944A7E" w14:textId="77777777" w:rsidR="009E6EAE" w:rsidRDefault="009E6EAE" w:rsidP="00124D02">
      <w:pPr>
        <w:autoSpaceDE w:val="0"/>
        <w:autoSpaceDN w:val="0"/>
        <w:adjustRightInd w:val="0"/>
        <w:spacing w:after="0" w:line="240" w:lineRule="auto"/>
        <w:rPr>
          <w:rFonts w:asciiTheme="minorHAnsi" w:hAnsiTheme="minorHAnsi" w:cstheme="minorHAnsi"/>
        </w:rPr>
      </w:pPr>
      <w:r>
        <w:rPr>
          <w:noProof/>
          <w:lang w:eastAsia="en-AU"/>
        </w:rPr>
        <w:lastRenderedPageBreak/>
        <w:drawing>
          <wp:inline distT="0" distB="0" distL="0" distR="0" wp14:anchorId="1E3DCDDE" wp14:editId="4C26710D">
            <wp:extent cx="4791075" cy="7324725"/>
            <wp:effectExtent l="0" t="0" r="9525" b="9525"/>
            <wp:docPr id="28" name="Picture 28" descr="Table 4: continues&#10;&#10;Comparison across Commonwealth regulatory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able 4: continues&#10;&#10;Comparison across Commonwealth regulatory agencies"/>
                    <pic:cNvPicPr/>
                  </pic:nvPicPr>
                  <pic:blipFill>
                    <a:blip r:embed="rId18"/>
                    <a:stretch>
                      <a:fillRect/>
                    </a:stretch>
                  </pic:blipFill>
                  <pic:spPr>
                    <a:xfrm>
                      <a:off x="0" y="0"/>
                      <a:ext cx="4791075" cy="7324725"/>
                    </a:xfrm>
                    <a:prstGeom prst="rect">
                      <a:avLst/>
                    </a:prstGeom>
                  </pic:spPr>
                </pic:pic>
              </a:graphicData>
            </a:graphic>
          </wp:inline>
        </w:drawing>
      </w:r>
    </w:p>
    <w:p w14:paraId="58FAAE52" w14:textId="77777777" w:rsidR="009E6EAE" w:rsidRDefault="009E6EAE" w:rsidP="009E6EAE">
      <w:r>
        <w:br w:type="page"/>
      </w:r>
    </w:p>
    <w:p w14:paraId="23FE64DF" w14:textId="77777777" w:rsidR="00412EDD" w:rsidRDefault="009E6EAE" w:rsidP="00124D02">
      <w:pPr>
        <w:autoSpaceDE w:val="0"/>
        <w:autoSpaceDN w:val="0"/>
        <w:adjustRightInd w:val="0"/>
        <w:spacing w:after="0" w:line="240" w:lineRule="auto"/>
        <w:rPr>
          <w:rFonts w:asciiTheme="minorHAnsi" w:hAnsiTheme="minorHAnsi" w:cstheme="minorHAnsi"/>
        </w:rPr>
      </w:pPr>
      <w:r>
        <w:rPr>
          <w:noProof/>
          <w:lang w:eastAsia="en-AU"/>
        </w:rPr>
        <w:lastRenderedPageBreak/>
        <w:drawing>
          <wp:inline distT="0" distB="0" distL="0" distR="0" wp14:anchorId="1FDE0584" wp14:editId="1D4EB99C">
            <wp:extent cx="4857750" cy="7273636"/>
            <wp:effectExtent l="0" t="0" r="0" b="3810"/>
            <wp:docPr id="29" name="Picture 29" descr="Table 4 continues&#10;&#10;Comparison across Commonwealth regulatory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 4 continues&#10;&#10;Comparison across Commonwealth regulatory agencies"/>
                    <pic:cNvPicPr/>
                  </pic:nvPicPr>
                  <pic:blipFill rotWithShape="1">
                    <a:blip r:embed="rId19"/>
                    <a:srcRect b="3703"/>
                    <a:stretch/>
                  </pic:blipFill>
                  <pic:spPr bwMode="auto">
                    <a:xfrm>
                      <a:off x="0" y="0"/>
                      <a:ext cx="4857750" cy="7273636"/>
                    </a:xfrm>
                    <a:prstGeom prst="rect">
                      <a:avLst/>
                    </a:prstGeom>
                    <a:ln>
                      <a:noFill/>
                    </a:ln>
                    <a:extLst>
                      <a:ext uri="{53640926-AAD7-44D8-BBD7-CCE9431645EC}">
                        <a14:shadowObscured xmlns:a14="http://schemas.microsoft.com/office/drawing/2010/main"/>
                      </a:ext>
                    </a:extLst>
                  </pic:spPr>
                </pic:pic>
              </a:graphicData>
            </a:graphic>
          </wp:inline>
        </w:drawing>
      </w:r>
    </w:p>
    <w:p w14:paraId="717073C2" w14:textId="77777777" w:rsidR="009E6EAE" w:rsidRDefault="009E6EAE">
      <w:pPr>
        <w:rPr>
          <w:rFonts w:asciiTheme="minorHAnsi" w:hAnsiTheme="minorHAnsi" w:cstheme="minorHAnsi"/>
        </w:rPr>
      </w:pPr>
      <w:r>
        <w:rPr>
          <w:rFonts w:asciiTheme="minorHAnsi" w:hAnsiTheme="minorHAnsi" w:cstheme="minorHAnsi"/>
        </w:rPr>
        <w:br w:type="page"/>
      </w:r>
    </w:p>
    <w:p w14:paraId="0215D4E3" w14:textId="77777777" w:rsidR="001F6B4E" w:rsidRDefault="001F6B4E" w:rsidP="00710992">
      <w:r w:rsidRPr="001F6B4E">
        <w:lastRenderedPageBreak/>
        <w:t xml:space="preserve">The Review </w:t>
      </w:r>
      <w:r w:rsidRPr="00710992">
        <w:t>found</w:t>
      </w:r>
      <w:r w:rsidRPr="001F6B4E">
        <w:t xml:space="preserve"> that there was a high degree of consistency between systems and</w:t>
      </w:r>
      <w:r>
        <w:t xml:space="preserve"> </w:t>
      </w:r>
      <w:r w:rsidRPr="001F6B4E">
        <w:t>concluded that the following changes to the Act would further improve consistency,</w:t>
      </w:r>
      <w:r>
        <w:t xml:space="preserve"> </w:t>
      </w:r>
      <w:proofErr w:type="gramStart"/>
      <w:r>
        <w:t>effi</w:t>
      </w:r>
      <w:r w:rsidRPr="001F6B4E">
        <w:t>ciency</w:t>
      </w:r>
      <w:proofErr w:type="gramEnd"/>
      <w:r w:rsidRPr="001F6B4E">
        <w:t xml:space="preserve"> and coordination across Commonwealth systems:</w:t>
      </w:r>
    </w:p>
    <w:p w14:paraId="57EC535C" w14:textId="461B4EDD" w:rsidR="001F6B4E" w:rsidRPr="00710992" w:rsidRDefault="001F6B4E" w:rsidP="009F018E">
      <w:pPr>
        <w:pStyle w:val="ListParagraph"/>
        <w:numPr>
          <w:ilvl w:val="0"/>
          <w:numId w:val="23"/>
        </w:numPr>
      </w:pPr>
      <w:r w:rsidRPr="00710992">
        <w:t xml:space="preserve">Create capacity to </w:t>
      </w:r>
      <w:proofErr w:type="gramStart"/>
      <w:r w:rsidRPr="00710992">
        <w:t>fast track</w:t>
      </w:r>
      <w:proofErr w:type="gramEnd"/>
      <w:r w:rsidRPr="00710992">
        <w:t xml:space="preserve"> approvals in an emergency (this was discussed in chapter 4).</w:t>
      </w:r>
    </w:p>
    <w:p w14:paraId="2046DFEB" w14:textId="20AD5EFC" w:rsidR="001F6B4E" w:rsidRPr="00710992" w:rsidRDefault="001F6B4E" w:rsidP="009F018E">
      <w:pPr>
        <w:pStyle w:val="ListParagraph"/>
        <w:numPr>
          <w:ilvl w:val="0"/>
          <w:numId w:val="23"/>
        </w:numPr>
      </w:pPr>
      <w:r w:rsidRPr="00710992">
        <w:t>Encourage the Regulator to remain active at the international level to develop an internationally consistent data package (this was discussed in chapter 4).</w:t>
      </w:r>
    </w:p>
    <w:p w14:paraId="5A08F8A3" w14:textId="77777777" w:rsidR="001F6B4E" w:rsidRPr="00710992" w:rsidRDefault="001F6B4E" w:rsidP="009F018E">
      <w:pPr>
        <w:pStyle w:val="ListParagraph"/>
        <w:numPr>
          <w:ilvl w:val="0"/>
          <w:numId w:val="23"/>
        </w:numPr>
      </w:pPr>
      <w:r w:rsidRPr="00710992">
        <w:t>Establish a regulators’ forum with the object of maintaining and improving the transparency and seamless operation of the Commonwealth regulatory systems with responsibility for GMOs (see recommendation 7.1)</w:t>
      </w:r>
    </w:p>
    <w:p w14:paraId="57F31182" w14:textId="77777777" w:rsidR="001F6B4E" w:rsidRPr="009358C6" w:rsidRDefault="001F6B4E" w:rsidP="009358C6">
      <w:pPr>
        <w:pStyle w:val="Heading2"/>
      </w:pPr>
      <w:bookmarkStart w:id="68" w:name="_Toc95326302"/>
      <w:r w:rsidRPr="009358C6">
        <w:t>Areas needing harmonisation between Commonwealth Regulators of GMOs and GM products</w:t>
      </w:r>
      <w:bookmarkEnd w:id="68"/>
    </w:p>
    <w:p w14:paraId="7369F0FE" w14:textId="2A458410" w:rsidR="001F6B4E" w:rsidRPr="009358C6" w:rsidRDefault="001F6B4E" w:rsidP="009358C6">
      <w:r w:rsidRPr="009358C6">
        <w:t>Many submissions to the Review from consumer organisations and NGOs and some individuals called for the OGTR to become a ‘one stop shop’ that integrates all regulatory aspects of gene technology. However, in discussing this issue during public consultations, it remained unclear to the Review whether this was a call for a single point of entry (for example, having received an application, the OGTR would refer it onto FSANZ if it was intended for human consumption) or whether this was a call for the OGTR to regulate all aspects of GMOs regardless of whether they were a food, a therapeutic good or an agricultural chemical and so on.</w:t>
      </w:r>
    </w:p>
    <w:p w14:paraId="424F256D" w14:textId="47E816A7" w:rsidR="001F6B4E" w:rsidRPr="009358C6" w:rsidRDefault="001F6B4E" w:rsidP="009358C6">
      <w:r w:rsidRPr="009358C6">
        <w:t>The Review could not find an example in the other countries examined of a gene technology regulatory agency that had such a broad mandate (refer chapter 8). Having regard to the fact that the possibility of setting up the OGTR as a one stop shop had been considered and rejected during the development phase of the regulatory system and that such a move would represent a major overhaul of all the relevant Commonwealth regulatory schemes, the Review considered that there would need to be compelling evidence that the current arrangement was failing, to justify a move to the one stop shop model. The Review did not find any evidence of a major failure.</w:t>
      </w:r>
    </w:p>
    <w:p w14:paraId="715BA8D3" w14:textId="77777777" w:rsidR="00332AF4" w:rsidRDefault="001F6B4E" w:rsidP="009358C6">
      <w:r w:rsidRPr="009358C6">
        <w:t>The Review identified one area where greater harmonisation between Commonwealth regulators was desirable and had the potential to alleviate regulatory burden. This was in the differing facility</w:t>
      </w:r>
      <w:r>
        <w:t xml:space="preserve"> </w:t>
      </w:r>
      <w:r w:rsidRPr="001F6B4E">
        <w:t>certification and audit requirements of the OGTR and AQIS.</w:t>
      </w:r>
      <w:r>
        <w:t xml:space="preserve"> </w:t>
      </w:r>
      <w:r w:rsidRPr="001F6B4E">
        <w:t>This matter was discussed in chapter 6.</w:t>
      </w:r>
    </w:p>
    <w:p w14:paraId="1E9688B8" w14:textId="77777777" w:rsidR="00332AF4" w:rsidRPr="009358C6" w:rsidRDefault="00332AF4" w:rsidP="009358C6">
      <w:pPr>
        <w:pStyle w:val="Heading2"/>
      </w:pPr>
      <w:bookmarkStart w:id="69" w:name="_Toc95326303"/>
      <w:r w:rsidRPr="009358C6">
        <w:t xml:space="preserve">Improvements in consistency, </w:t>
      </w:r>
      <w:proofErr w:type="spellStart"/>
      <w:r w:rsidRPr="009358C6">
        <w:t>effi</w:t>
      </w:r>
      <w:proofErr w:type="spellEnd"/>
      <w:r w:rsidRPr="009358C6">
        <w:t xml:space="preserve"> </w:t>
      </w:r>
      <w:proofErr w:type="spellStart"/>
      <w:r w:rsidRPr="009358C6">
        <w:t>ciency</w:t>
      </w:r>
      <w:proofErr w:type="spellEnd"/>
      <w:r w:rsidRPr="009358C6">
        <w:t xml:space="preserve"> and coordination between the gene technology regulatory system and relevant State legislation</w:t>
      </w:r>
      <w:bookmarkEnd w:id="69"/>
    </w:p>
    <w:p w14:paraId="129A673F" w14:textId="77777777" w:rsidR="00332AF4" w:rsidRPr="002E55E9" w:rsidRDefault="00332AF4" w:rsidP="002E55E9">
      <w:r w:rsidRPr="002E55E9">
        <w:t>The Review heard that research and industry organisations were frustrated by the numbers of different pieces of legislation that cover similar issues and require compliance.</w:t>
      </w:r>
    </w:p>
    <w:p w14:paraId="4877A29E" w14:textId="77777777" w:rsidR="00332AF4" w:rsidRPr="002E55E9" w:rsidRDefault="00332AF4" w:rsidP="002E55E9">
      <w:r w:rsidRPr="002E55E9">
        <w:t>There is a potential for compliance with one scheme to cause non-compliance with another. Research organisations stressed that practices and procedures in laboratories were designed to meet their obligations under State occupational health and safety requirements and that some OGTR requirements seemed unnecessarily duplicative.</w:t>
      </w:r>
    </w:p>
    <w:p w14:paraId="30A67339" w14:textId="199D1E36" w:rsidR="00332AF4" w:rsidRPr="00332AF4" w:rsidRDefault="00332AF4" w:rsidP="002E55E9">
      <w:r w:rsidRPr="002E55E9">
        <w:t xml:space="preserve">Table 5, which was provided by the Children’s Cancer Research Institute, highlights the different regulatory schemes that must be complied with by a contained research facility, </w:t>
      </w:r>
      <w:r w:rsidRPr="002E55E9">
        <w:lastRenderedPageBreak/>
        <w:t>working with</w:t>
      </w:r>
      <w:r w:rsidRPr="00332AF4">
        <w:t xml:space="preserve"> GMOs, in New South Wales. Applicable regulatory regimes differ</w:t>
      </w:r>
      <w:r>
        <w:t xml:space="preserve"> </w:t>
      </w:r>
      <w:r w:rsidRPr="00332AF4">
        <w:t>between jurisdictions. Different regimes also apply in the context of GMOs to be</w:t>
      </w:r>
      <w:r>
        <w:t xml:space="preserve"> </w:t>
      </w:r>
      <w:r w:rsidRPr="00332AF4">
        <w:t>released into the environment.</w:t>
      </w:r>
    </w:p>
    <w:p w14:paraId="7C9F13CA" w14:textId="77777777" w:rsidR="00332AF4" w:rsidRPr="002E55E9" w:rsidRDefault="00332AF4" w:rsidP="002E55E9">
      <w:pPr>
        <w:rPr>
          <w:b/>
          <w:bCs/>
        </w:rPr>
      </w:pPr>
      <w:r w:rsidRPr="002E55E9">
        <w:rPr>
          <w:b/>
          <w:bCs/>
        </w:rPr>
        <w:t>Table 5: Regulatory schemes for contained work on GMOs (New South Wales)</w:t>
      </w:r>
    </w:p>
    <w:tbl>
      <w:tblPr>
        <w:tblStyle w:val="TableGrid"/>
        <w:tblW w:w="0" w:type="auto"/>
        <w:tblLook w:val="04A0" w:firstRow="1" w:lastRow="0" w:firstColumn="1" w:lastColumn="0" w:noHBand="0" w:noVBand="1"/>
      </w:tblPr>
      <w:tblGrid>
        <w:gridCol w:w="9016"/>
      </w:tblGrid>
      <w:tr w:rsidR="008840BE" w:rsidRPr="008840BE" w14:paraId="34057514" w14:textId="77777777" w:rsidTr="008840BE">
        <w:tc>
          <w:tcPr>
            <w:tcW w:w="9016" w:type="dxa"/>
          </w:tcPr>
          <w:p w14:paraId="6A32A589" w14:textId="77777777" w:rsidR="008840BE" w:rsidRPr="008840BE" w:rsidRDefault="008840BE" w:rsidP="00333203">
            <w:r w:rsidRPr="008840BE">
              <w:t xml:space="preserve">The </w:t>
            </w:r>
            <w:r w:rsidRPr="008840BE">
              <w:rPr>
                <w:i/>
                <w:iCs/>
              </w:rPr>
              <w:t>Gene Technology Act 2000</w:t>
            </w:r>
            <w:r w:rsidRPr="008840BE">
              <w:t xml:space="preserve"> (</w:t>
            </w:r>
            <w:proofErr w:type="spellStart"/>
            <w:r w:rsidRPr="008840BE">
              <w:t>C’wth</w:t>
            </w:r>
            <w:proofErr w:type="spellEnd"/>
            <w:r w:rsidRPr="008840BE">
              <w:t>) and Regulations (2001) and all guidelines of the Office of the Gene Technology Regulator</w:t>
            </w:r>
          </w:p>
        </w:tc>
      </w:tr>
      <w:tr w:rsidR="008840BE" w:rsidRPr="008840BE" w14:paraId="70E9DB10" w14:textId="77777777" w:rsidTr="008840BE">
        <w:tc>
          <w:tcPr>
            <w:tcW w:w="9016" w:type="dxa"/>
          </w:tcPr>
          <w:p w14:paraId="506940DA" w14:textId="77777777" w:rsidR="008840BE" w:rsidRPr="008840BE" w:rsidRDefault="008840BE" w:rsidP="00333203">
            <w:r w:rsidRPr="008840BE">
              <w:t xml:space="preserve">The </w:t>
            </w:r>
            <w:r w:rsidRPr="008840BE">
              <w:rPr>
                <w:i/>
                <w:iCs/>
              </w:rPr>
              <w:t>Quarantine Act 1908</w:t>
            </w:r>
            <w:r w:rsidRPr="008840BE">
              <w:t xml:space="preserve"> and The Quarantine Proclamation (1998) (</w:t>
            </w:r>
            <w:proofErr w:type="spellStart"/>
            <w:r w:rsidRPr="008840BE">
              <w:t>C’wth</w:t>
            </w:r>
            <w:proofErr w:type="spellEnd"/>
            <w:r w:rsidRPr="008840BE">
              <w:t>)</w:t>
            </w:r>
          </w:p>
        </w:tc>
      </w:tr>
      <w:tr w:rsidR="008840BE" w:rsidRPr="008840BE" w14:paraId="676C81CB" w14:textId="77777777" w:rsidTr="008840BE">
        <w:tc>
          <w:tcPr>
            <w:tcW w:w="9016" w:type="dxa"/>
          </w:tcPr>
          <w:p w14:paraId="5685D5EB" w14:textId="77777777" w:rsidR="008840BE" w:rsidRPr="008840BE" w:rsidRDefault="008840BE" w:rsidP="00333203">
            <w:r w:rsidRPr="008840BE">
              <w:t xml:space="preserve">The </w:t>
            </w:r>
            <w:r w:rsidRPr="008840BE">
              <w:rPr>
                <w:i/>
                <w:iCs/>
              </w:rPr>
              <w:t>Animal Research Act 1985</w:t>
            </w:r>
            <w:r w:rsidRPr="008840BE">
              <w:t xml:space="preserve"> (NSW) and Regulations (1995)</w:t>
            </w:r>
          </w:p>
        </w:tc>
      </w:tr>
      <w:tr w:rsidR="008840BE" w:rsidRPr="008840BE" w14:paraId="77CC2087" w14:textId="77777777" w:rsidTr="008840BE">
        <w:tc>
          <w:tcPr>
            <w:tcW w:w="9016" w:type="dxa"/>
          </w:tcPr>
          <w:p w14:paraId="48BC3864" w14:textId="77777777" w:rsidR="008840BE" w:rsidRPr="008840BE" w:rsidRDefault="008840BE" w:rsidP="00333203">
            <w:r w:rsidRPr="008840BE">
              <w:t xml:space="preserve">The </w:t>
            </w:r>
            <w:r w:rsidRPr="008840BE">
              <w:rPr>
                <w:i/>
                <w:iCs/>
              </w:rPr>
              <w:t>Occupational Health and Safety Act 2000</w:t>
            </w:r>
            <w:r w:rsidRPr="008840BE">
              <w:t xml:space="preserve"> (NSW) and Regulations (2001)</w:t>
            </w:r>
          </w:p>
        </w:tc>
      </w:tr>
      <w:tr w:rsidR="008840BE" w:rsidRPr="008840BE" w14:paraId="0640438A" w14:textId="77777777" w:rsidTr="008840BE">
        <w:tc>
          <w:tcPr>
            <w:tcW w:w="9016" w:type="dxa"/>
          </w:tcPr>
          <w:p w14:paraId="6D08D0D4" w14:textId="77777777" w:rsidR="008840BE" w:rsidRPr="008840BE" w:rsidRDefault="008840BE" w:rsidP="00333203">
            <w:r w:rsidRPr="008840BE">
              <w:t>The Australian Code of Practice for the care and use of animals for scientific purposes 7th Edition (NHMRC 2004)</w:t>
            </w:r>
          </w:p>
        </w:tc>
      </w:tr>
      <w:tr w:rsidR="008840BE" w:rsidRPr="008840BE" w14:paraId="41230F84" w14:textId="77777777" w:rsidTr="008840BE">
        <w:tc>
          <w:tcPr>
            <w:tcW w:w="9016" w:type="dxa"/>
          </w:tcPr>
          <w:p w14:paraId="6A6BB59C" w14:textId="77777777" w:rsidR="008840BE" w:rsidRPr="008840BE" w:rsidRDefault="008840BE" w:rsidP="00333203">
            <w:r w:rsidRPr="008840BE">
              <w:t>Australian and New Zealand Standard 2243:3 Safety in laboratories — Microbiological aspects and containment facilities (2002)</w:t>
            </w:r>
          </w:p>
        </w:tc>
      </w:tr>
    </w:tbl>
    <w:p w14:paraId="7C316698" w14:textId="77777777" w:rsidR="00332AF4" w:rsidRPr="003D01BE" w:rsidRDefault="00332AF4" w:rsidP="003D01BE">
      <w:pPr>
        <w:rPr>
          <w:i/>
          <w:iCs/>
        </w:rPr>
      </w:pPr>
      <w:r w:rsidRPr="003D01BE">
        <w:rPr>
          <w:i/>
          <w:iCs/>
        </w:rPr>
        <w:t>Source: Children’s Cancer Research Institute, NSW.</w:t>
      </w:r>
    </w:p>
    <w:p w14:paraId="59957ACF" w14:textId="77777777" w:rsidR="00332AF4" w:rsidRPr="003D01BE" w:rsidRDefault="00332AF4" w:rsidP="003D01BE">
      <w:r w:rsidRPr="003D01BE">
        <w:t>While it is outside the scope of this review to recommend changes to State legislation, the Review considered it would be desirable for the Regulator to maintain an awareness of occupational health and safety legislation and animal welfare legislation.</w:t>
      </w:r>
    </w:p>
    <w:p w14:paraId="391909AB" w14:textId="77777777" w:rsidR="00332AF4" w:rsidRPr="003D01BE" w:rsidRDefault="00332AF4" w:rsidP="003D01BE">
      <w:r w:rsidRPr="003D01BE">
        <w:t>The Review considered that an important way to reduce the duplication in regulations for researchers is to investigate ways in which they can be made to conform with Australian Standards. The Review concluded that the Regulator should participate in opportunities for review of the Australian Standards to help her align her requirements.</w:t>
      </w:r>
    </w:p>
    <w:p w14:paraId="36F88352" w14:textId="77777777" w:rsidR="00332AF4" w:rsidRPr="003D01BE" w:rsidRDefault="00332AF4" w:rsidP="003D01BE">
      <w:pPr>
        <w:pStyle w:val="Recommendation"/>
      </w:pPr>
      <w:r w:rsidRPr="003D01BE">
        <w:t xml:space="preserve">Recommendation 7.2: In the special case of Australian Standards that apply to laboratory facilities, the Review recommends that the Regulator actively participates in every opportunity for review </w:t>
      </w:r>
      <w:proofErr w:type="gramStart"/>
      <w:r w:rsidRPr="003D01BE">
        <w:t>so as to</w:t>
      </w:r>
      <w:proofErr w:type="gramEnd"/>
      <w:r w:rsidRPr="003D01BE">
        <w:t xml:space="preserve"> align her requirements with those of Standards Australia.</w:t>
      </w:r>
    </w:p>
    <w:p w14:paraId="35CCB1D5" w14:textId="77777777" w:rsidR="003D01BE" w:rsidRPr="003D01BE" w:rsidRDefault="003D01BE" w:rsidP="003D01BE">
      <w:r w:rsidRPr="003D01BE">
        <w:br w:type="page"/>
      </w:r>
    </w:p>
    <w:p w14:paraId="0EDE1230" w14:textId="79B7C3E6" w:rsidR="009E6EAE" w:rsidRPr="003D01BE" w:rsidRDefault="00D34D0C" w:rsidP="003D01BE">
      <w:pPr>
        <w:pStyle w:val="Heading1"/>
      </w:pPr>
      <w:bookmarkStart w:id="70" w:name="_Toc95326304"/>
      <w:r>
        <w:lastRenderedPageBreak/>
        <w:t xml:space="preserve">Chapter 8: </w:t>
      </w:r>
      <w:r w:rsidR="00332AF4" w:rsidRPr="003D01BE">
        <w:t>CHANGING CIRCUMSTANCES</w:t>
      </w:r>
      <w:bookmarkEnd w:id="70"/>
    </w:p>
    <w:p w14:paraId="4786E05C" w14:textId="77777777" w:rsidR="003D01BE" w:rsidRPr="003D01BE" w:rsidRDefault="003D01BE" w:rsidP="003D01BE">
      <w:pPr>
        <w:shd w:val="clear" w:color="auto" w:fill="E2EFD9" w:themeFill="accent6" w:themeFillTint="33"/>
        <w:rPr>
          <w:b/>
          <w:bCs/>
        </w:rPr>
      </w:pPr>
      <w:r w:rsidRPr="003D01BE">
        <w:rPr>
          <w:b/>
          <w:bCs/>
        </w:rPr>
        <w:t>Term of reference 10:</w:t>
      </w:r>
    </w:p>
    <w:p w14:paraId="1C5A09A2" w14:textId="77777777" w:rsidR="003D01BE" w:rsidRPr="003D01BE" w:rsidRDefault="003D01BE" w:rsidP="003D01BE">
      <w:pPr>
        <w:shd w:val="clear" w:color="auto" w:fill="E2EFD9" w:themeFill="accent6" w:themeFillTint="33"/>
      </w:pPr>
      <w:r w:rsidRPr="003D01BE">
        <w:t>Examine emerging trends and international developments in biotechnology and its regulation and whether the regulatory system stipulated by the Act is flexible enough to accommodate changing circumstances</w:t>
      </w:r>
    </w:p>
    <w:p w14:paraId="3280BCB9" w14:textId="77777777" w:rsidR="00332AF4" w:rsidRPr="007E11E7" w:rsidRDefault="00332AF4" w:rsidP="007E11E7">
      <w:pPr>
        <w:pStyle w:val="Heading2"/>
      </w:pPr>
      <w:bookmarkStart w:id="71" w:name="_Toc95326305"/>
      <w:r w:rsidRPr="007E11E7">
        <w:t>Emerging trends</w:t>
      </w:r>
      <w:bookmarkEnd w:id="71"/>
    </w:p>
    <w:p w14:paraId="728697A9" w14:textId="6D39202B" w:rsidR="00332AF4" w:rsidRPr="007E11E7" w:rsidRDefault="00332AF4" w:rsidP="007E11E7">
      <w:r w:rsidRPr="007E11E7">
        <w:t>Current research into GMOs that may lead to new commercial products falls into three categories:</w:t>
      </w:r>
    </w:p>
    <w:p w14:paraId="3075266E" w14:textId="4393F128" w:rsidR="00332AF4" w:rsidRPr="007E11E7" w:rsidRDefault="00332AF4" w:rsidP="009F018E">
      <w:pPr>
        <w:pStyle w:val="ListParagraph"/>
        <w:numPr>
          <w:ilvl w:val="0"/>
          <w:numId w:val="24"/>
        </w:numPr>
      </w:pPr>
      <w:r w:rsidRPr="007E11E7">
        <w:t>First generation traits: GMOs with input traits (</w:t>
      </w:r>
      <w:proofErr w:type="gramStart"/>
      <w:r w:rsidRPr="007E11E7">
        <w:t>e.g.</w:t>
      </w:r>
      <w:proofErr w:type="gramEnd"/>
      <w:r w:rsidRPr="007E11E7">
        <w:t xml:space="preserve"> herbicide tolerance,</w:t>
      </w:r>
      <w:r w:rsidR="001428BD" w:rsidRPr="007E11E7">
        <w:t xml:space="preserve"> </w:t>
      </w:r>
      <w:r w:rsidRPr="007E11E7">
        <w:t>insect resistance, disease resistance, and salt</w:t>
      </w:r>
      <w:r w:rsidR="001428BD" w:rsidRPr="007E11E7">
        <w:t xml:space="preserve"> tolerance) that provide benefi</w:t>
      </w:r>
      <w:r w:rsidRPr="007E11E7">
        <w:t>ts</w:t>
      </w:r>
      <w:r w:rsidR="001428BD" w:rsidRPr="007E11E7">
        <w:t xml:space="preserve"> </w:t>
      </w:r>
      <w:r w:rsidRPr="007E11E7">
        <w:t>on the farm.</w:t>
      </w:r>
    </w:p>
    <w:p w14:paraId="19502381" w14:textId="1D9755CA" w:rsidR="00332AF4" w:rsidRPr="007E11E7" w:rsidRDefault="00332AF4" w:rsidP="009F018E">
      <w:pPr>
        <w:pStyle w:val="ListParagraph"/>
        <w:numPr>
          <w:ilvl w:val="0"/>
          <w:numId w:val="24"/>
        </w:numPr>
      </w:pPr>
      <w:r w:rsidRPr="007E11E7">
        <w:t>Second generation traits: GMOs with output traits (</w:t>
      </w:r>
      <w:proofErr w:type="gramStart"/>
      <w:r w:rsidRPr="007E11E7">
        <w:t>e.g.</w:t>
      </w:r>
      <w:proofErr w:type="gramEnd"/>
      <w:r w:rsidRPr="007E11E7">
        <w:t xml:space="preserve"> nutritional properties)</w:t>
      </w:r>
      <w:r w:rsidR="001428BD" w:rsidRPr="007E11E7">
        <w:t xml:space="preserve"> </w:t>
      </w:r>
      <w:r w:rsidRPr="007E11E7">
        <w:t>that provide benefits to the producer and consumer.</w:t>
      </w:r>
    </w:p>
    <w:p w14:paraId="326EC1AA" w14:textId="51C2DA15" w:rsidR="00332AF4" w:rsidRPr="007E11E7" w:rsidRDefault="00332AF4" w:rsidP="009F018E">
      <w:pPr>
        <w:pStyle w:val="ListParagraph"/>
        <w:numPr>
          <w:ilvl w:val="0"/>
          <w:numId w:val="24"/>
        </w:numPr>
      </w:pPr>
      <w:r w:rsidRPr="007E11E7">
        <w:t>Third generation traits: GMOs that can be used as factories to produce</w:t>
      </w:r>
      <w:r w:rsidR="001428BD" w:rsidRPr="007E11E7">
        <w:t xml:space="preserve"> </w:t>
      </w:r>
      <w:r w:rsidRPr="007E11E7">
        <w:t>pharmaceuticals or industrial oils.</w:t>
      </w:r>
    </w:p>
    <w:p w14:paraId="5E085A44" w14:textId="77777777" w:rsidR="00332AF4" w:rsidRPr="007E11E7" w:rsidRDefault="00332AF4" w:rsidP="007E11E7">
      <w:r w:rsidRPr="007E11E7">
        <w:t>Table 6 describes first, second and third generation GM crops that are currently being</w:t>
      </w:r>
      <w:r w:rsidR="001428BD" w:rsidRPr="007E11E7">
        <w:t xml:space="preserve"> </w:t>
      </w:r>
      <w:r w:rsidRPr="007E11E7">
        <w:t>developed in Australia</w:t>
      </w:r>
    </w:p>
    <w:p w14:paraId="017BD5CC" w14:textId="77777777" w:rsidR="001428BD" w:rsidRDefault="001428BD">
      <w:pPr>
        <w:rPr>
          <w:rFonts w:asciiTheme="minorHAnsi" w:hAnsiTheme="minorHAnsi" w:cstheme="minorHAnsi"/>
          <w:color w:val="231F20"/>
          <w:szCs w:val="22"/>
        </w:rPr>
      </w:pPr>
      <w:r>
        <w:rPr>
          <w:rFonts w:asciiTheme="minorHAnsi" w:hAnsiTheme="minorHAnsi" w:cstheme="minorHAnsi"/>
          <w:color w:val="231F20"/>
          <w:szCs w:val="22"/>
        </w:rPr>
        <w:br w:type="page"/>
      </w:r>
    </w:p>
    <w:p w14:paraId="06C5A697" w14:textId="77777777" w:rsidR="001428BD" w:rsidRDefault="001428BD" w:rsidP="00332AF4">
      <w:pPr>
        <w:autoSpaceDE w:val="0"/>
        <w:autoSpaceDN w:val="0"/>
        <w:adjustRightInd w:val="0"/>
        <w:spacing w:after="0" w:line="240" w:lineRule="auto"/>
        <w:rPr>
          <w:rFonts w:asciiTheme="minorHAnsi" w:hAnsiTheme="minorHAnsi" w:cstheme="minorHAnsi"/>
          <w:b/>
          <w:szCs w:val="22"/>
        </w:rPr>
      </w:pPr>
      <w:r>
        <w:rPr>
          <w:noProof/>
          <w:lang w:eastAsia="en-AU"/>
        </w:rPr>
        <w:lastRenderedPageBreak/>
        <w:drawing>
          <wp:inline distT="0" distB="0" distL="0" distR="0" wp14:anchorId="3142DB2B" wp14:editId="34ADE5CE">
            <wp:extent cx="4791075" cy="6600305"/>
            <wp:effectExtent l="0" t="0" r="0" b="0"/>
            <wp:docPr id="31" name="Picture 31" descr="Provides a list of GM Crops being developed in Australia" title="Table 6: GM c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2948"/>
                    <a:stretch/>
                  </pic:blipFill>
                  <pic:spPr bwMode="auto">
                    <a:xfrm>
                      <a:off x="0" y="0"/>
                      <a:ext cx="4791075" cy="6600305"/>
                    </a:xfrm>
                    <a:prstGeom prst="rect">
                      <a:avLst/>
                    </a:prstGeom>
                    <a:ln>
                      <a:noFill/>
                    </a:ln>
                    <a:extLst>
                      <a:ext uri="{53640926-AAD7-44D8-BBD7-CCE9431645EC}">
                        <a14:shadowObscured xmlns:a14="http://schemas.microsoft.com/office/drawing/2010/main"/>
                      </a:ext>
                    </a:extLst>
                  </pic:spPr>
                </pic:pic>
              </a:graphicData>
            </a:graphic>
          </wp:inline>
        </w:drawing>
      </w:r>
    </w:p>
    <w:p w14:paraId="67949A2A" w14:textId="77777777" w:rsidR="001428BD" w:rsidRDefault="001428BD" w:rsidP="001428BD">
      <w:r>
        <w:br w:type="page"/>
      </w:r>
    </w:p>
    <w:p w14:paraId="4AEB2226" w14:textId="77777777" w:rsidR="001428BD" w:rsidRDefault="001428BD" w:rsidP="00332AF4">
      <w:pPr>
        <w:autoSpaceDE w:val="0"/>
        <w:autoSpaceDN w:val="0"/>
        <w:adjustRightInd w:val="0"/>
        <w:spacing w:after="0" w:line="240" w:lineRule="auto"/>
        <w:rPr>
          <w:rFonts w:asciiTheme="minorHAnsi" w:hAnsiTheme="minorHAnsi" w:cstheme="minorHAnsi"/>
          <w:b/>
          <w:szCs w:val="22"/>
        </w:rPr>
      </w:pPr>
      <w:r>
        <w:rPr>
          <w:noProof/>
          <w:lang w:eastAsia="en-AU"/>
        </w:rPr>
        <w:lastRenderedPageBreak/>
        <w:drawing>
          <wp:inline distT="0" distB="0" distL="0" distR="0" wp14:anchorId="3C615330" wp14:editId="3C021C32">
            <wp:extent cx="4552950" cy="6580262"/>
            <wp:effectExtent l="0" t="0" r="0" b="0"/>
            <wp:docPr id="192" name="Picture 192" descr="Provides a list of GM Crops being developed in Australia" title="Table 6: GM C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5623"/>
                    <a:stretch/>
                  </pic:blipFill>
                  <pic:spPr bwMode="auto">
                    <a:xfrm>
                      <a:off x="0" y="0"/>
                      <a:ext cx="4552950" cy="6580262"/>
                    </a:xfrm>
                    <a:prstGeom prst="rect">
                      <a:avLst/>
                    </a:prstGeom>
                    <a:ln>
                      <a:noFill/>
                    </a:ln>
                    <a:extLst>
                      <a:ext uri="{53640926-AAD7-44D8-BBD7-CCE9431645EC}">
                        <a14:shadowObscured xmlns:a14="http://schemas.microsoft.com/office/drawing/2010/main"/>
                      </a:ext>
                    </a:extLst>
                  </pic:spPr>
                </pic:pic>
              </a:graphicData>
            </a:graphic>
          </wp:inline>
        </w:drawing>
      </w:r>
    </w:p>
    <w:p w14:paraId="3989E8B7" w14:textId="77777777" w:rsidR="001428BD" w:rsidRDefault="001428BD" w:rsidP="001428BD">
      <w:r>
        <w:br w:type="page"/>
      </w:r>
    </w:p>
    <w:p w14:paraId="7AB1974F" w14:textId="77777777" w:rsidR="001428BD" w:rsidRDefault="001428BD" w:rsidP="00E96EC6">
      <w:r w:rsidRPr="001428BD">
        <w:lastRenderedPageBreak/>
        <w:t xml:space="preserve">Other </w:t>
      </w:r>
      <w:proofErr w:type="gramStart"/>
      <w:r w:rsidRPr="001428BD">
        <w:t>first generation</w:t>
      </w:r>
      <w:proofErr w:type="gramEnd"/>
      <w:r w:rsidRPr="001428BD">
        <w:t xml:space="preserve"> crops </w:t>
      </w:r>
      <w:r w:rsidRPr="00E96EC6">
        <w:t>being</w:t>
      </w:r>
      <w:r w:rsidRPr="001428BD">
        <w:t xml:space="preserve"> developed overseas include: ryegrass that provides</w:t>
      </w:r>
      <w:r>
        <w:t xml:space="preserve"> </w:t>
      </w:r>
      <w:r w:rsidRPr="001428BD">
        <w:t>nitrogen to the soil being developed in New Zealand; drought tolerant wheat in</w:t>
      </w:r>
      <w:r>
        <w:t xml:space="preserve"> </w:t>
      </w:r>
      <w:r w:rsidRPr="001428BD">
        <w:t>Mexico; and drought tolerant rices in China.</w:t>
      </w:r>
    </w:p>
    <w:p w14:paraId="3B7F7849" w14:textId="77777777" w:rsidR="001428BD" w:rsidRDefault="001428BD" w:rsidP="00E96EC6">
      <w:r w:rsidRPr="001428BD">
        <w:t xml:space="preserve">Table 7 shows examples of </w:t>
      </w:r>
      <w:proofErr w:type="gramStart"/>
      <w:r w:rsidRPr="001428BD">
        <w:t>second generation</w:t>
      </w:r>
      <w:proofErr w:type="gramEnd"/>
      <w:r w:rsidRPr="001428BD">
        <w:t xml:space="preserve"> crops that are in the pipeline overseas.</w:t>
      </w:r>
    </w:p>
    <w:p w14:paraId="56BE45B4" w14:textId="77777777" w:rsidR="001428BD" w:rsidRPr="00E96EC6" w:rsidRDefault="001428BD" w:rsidP="00E96EC6">
      <w:pPr>
        <w:rPr>
          <w:b/>
          <w:bCs/>
        </w:rPr>
      </w:pPr>
      <w:r w:rsidRPr="00E96EC6">
        <w:rPr>
          <w:b/>
          <w:bCs/>
        </w:rPr>
        <w:t>Table 7: GM feed crop traits in the pipeline worldwide</w:t>
      </w:r>
    </w:p>
    <w:tbl>
      <w:tblPr>
        <w:tblStyle w:val="TableGrid"/>
        <w:tblW w:w="0" w:type="auto"/>
        <w:tblLook w:val="04A0" w:firstRow="1" w:lastRow="0" w:firstColumn="1" w:lastColumn="0" w:noHBand="0" w:noVBand="1"/>
      </w:tblPr>
      <w:tblGrid>
        <w:gridCol w:w="1134"/>
        <w:gridCol w:w="1902"/>
        <w:gridCol w:w="5980"/>
      </w:tblGrid>
      <w:tr w:rsidR="00CF0537" w:rsidRPr="00CF0537" w14:paraId="64BD8AF9" w14:textId="77777777" w:rsidTr="00997C42">
        <w:tc>
          <w:tcPr>
            <w:tcW w:w="0" w:type="auto"/>
            <w:shd w:val="clear" w:color="auto" w:fill="000000" w:themeFill="text1"/>
          </w:tcPr>
          <w:p w14:paraId="63B7EBB4" w14:textId="77F1D68F" w:rsidR="00CF0537" w:rsidRPr="00CF0537" w:rsidRDefault="00CF0537" w:rsidP="00CF0537">
            <w:pPr>
              <w:pStyle w:val="Tableheader"/>
              <w:rPr>
                <w:color w:val="FFFFFF" w:themeColor="background1"/>
              </w:rPr>
            </w:pPr>
            <w:r w:rsidRPr="00CF0537">
              <w:rPr>
                <w:color w:val="FFFFFF" w:themeColor="background1"/>
              </w:rPr>
              <w:t>Crop</w:t>
            </w:r>
          </w:p>
        </w:tc>
        <w:tc>
          <w:tcPr>
            <w:tcW w:w="0" w:type="auto"/>
            <w:shd w:val="clear" w:color="auto" w:fill="000000" w:themeFill="text1"/>
          </w:tcPr>
          <w:p w14:paraId="21DA44E4" w14:textId="28D1C47A" w:rsidR="00CF0537" w:rsidRPr="00CF0537" w:rsidRDefault="00CF0537" w:rsidP="00CF0537">
            <w:pPr>
              <w:pStyle w:val="Tableheader"/>
              <w:rPr>
                <w:color w:val="FFFFFF" w:themeColor="background1"/>
              </w:rPr>
            </w:pPr>
            <w:r w:rsidRPr="00CF0537">
              <w:rPr>
                <w:color w:val="FFFFFF" w:themeColor="background1"/>
              </w:rPr>
              <w:t>Trait</w:t>
            </w:r>
          </w:p>
        </w:tc>
        <w:tc>
          <w:tcPr>
            <w:tcW w:w="0" w:type="auto"/>
            <w:shd w:val="clear" w:color="auto" w:fill="000000" w:themeFill="text1"/>
          </w:tcPr>
          <w:p w14:paraId="4D9192E7" w14:textId="1159EA1A" w:rsidR="00CF0537" w:rsidRPr="00CF0537" w:rsidRDefault="00CF0537" w:rsidP="00CF0537">
            <w:pPr>
              <w:pStyle w:val="Tableheader"/>
              <w:rPr>
                <w:color w:val="FFFFFF" w:themeColor="background1"/>
              </w:rPr>
            </w:pPr>
            <w:r w:rsidRPr="00CF0537">
              <w:rPr>
                <w:color w:val="FFFFFF" w:themeColor="background1"/>
              </w:rPr>
              <w:t>Improvement</w:t>
            </w:r>
          </w:p>
        </w:tc>
      </w:tr>
      <w:tr w:rsidR="00125CFC" w14:paraId="16C7C68B" w14:textId="77777777" w:rsidTr="00997C42">
        <w:tc>
          <w:tcPr>
            <w:tcW w:w="0" w:type="auto"/>
            <w:vMerge w:val="restart"/>
          </w:tcPr>
          <w:p w14:paraId="5689513E" w14:textId="3E91B2F2" w:rsidR="00125CFC" w:rsidRDefault="00125CFC" w:rsidP="00333203">
            <w:r w:rsidRPr="00D449C4">
              <w:t>Lucerne</w:t>
            </w:r>
          </w:p>
        </w:tc>
        <w:tc>
          <w:tcPr>
            <w:tcW w:w="0" w:type="auto"/>
          </w:tcPr>
          <w:p w14:paraId="6CFE88BE" w14:textId="605C9C3F" w:rsidR="00125CFC" w:rsidRDefault="00125CFC" w:rsidP="00333203">
            <w:r>
              <w:t>Lignin</w:t>
            </w:r>
          </w:p>
        </w:tc>
        <w:tc>
          <w:tcPr>
            <w:tcW w:w="0" w:type="auto"/>
          </w:tcPr>
          <w:p w14:paraId="7BD0DD53" w14:textId="22F5D9F7" w:rsidR="00125CFC" w:rsidRDefault="00125CFC" w:rsidP="00333203">
            <w:r w:rsidRPr="00F01760">
              <w:t>Improved digestibility and/or low lignin</w:t>
            </w:r>
          </w:p>
        </w:tc>
      </w:tr>
      <w:tr w:rsidR="00125CFC" w14:paraId="1E5B6D1F" w14:textId="77777777" w:rsidTr="00997C42">
        <w:tc>
          <w:tcPr>
            <w:tcW w:w="0" w:type="auto"/>
            <w:vMerge/>
          </w:tcPr>
          <w:p w14:paraId="5D1F6A77" w14:textId="77777777" w:rsidR="00125CFC" w:rsidRPr="00D449C4" w:rsidRDefault="00125CFC" w:rsidP="00333203"/>
        </w:tc>
        <w:tc>
          <w:tcPr>
            <w:tcW w:w="0" w:type="auto"/>
          </w:tcPr>
          <w:p w14:paraId="194435CB" w14:textId="5F3FC42F" w:rsidR="00125CFC" w:rsidRDefault="00125CFC" w:rsidP="00333203">
            <w:r>
              <w:t>Amino acids</w:t>
            </w:r>
          </w:p>
        </w:tc>
        <w:tc>
          <w:tcPr>
            <w:tcW w:w="0" w:type="auto"/>
          </w:tcPr>
          <w:p w14:paraId="68D06910" w14:textId="371E9BFC" w:rsidR="00125CFC" w:rsidRPr="00F01760" w:rsidRDefault="00D44AB5" w:rsidP="00333203">
            <w:r w:rsidRPr="00D44AB5">
              <w:t>Increased amino acids (methionine and cysteine)</w:t>
            </w:r>
          </w:p>
        </w:tc>
      </w:tr>
      <w:tr w:rsidR="00D44AB5" w14:paraId="07B6A024" w14:textId="77777777" w:rsidTr="00997C42">
        <w:tc>
          <w:tcPr>
            <w:tcW w:w="0" w:type="auto"/>
          </w:tcPr>
          <w:p w14:paraId="0918930C" w14:textId="77171E27" w:rsidR="00D44AB5" w:rsidRDefault="00D44AB5" w:rsidP="00D44AB5">
            <w:r w:rsidRPr="00D449C4">
              <w:t>Chickpea</w:t>
            </w:r>
          </w:p>
        </w:tc>
        <w:tc>
          <w:tcPr>
            <w:tcW w:w="0" w:type="auto"/>
          </w:tcPr>
          <w:p w14:paraId="0ECDF0F4" w14:textId="5637B9B4" w:rsidR="00D44AB5" w:rsidRDefault="00D44AB5" w:rsidP="00D44AB5">
            <w:r>
              <w:t>Amino acids</w:t>
            </w:r>
          </w:p>
        </w:tc>
        <w:tc>
          <w:tcPr>
            <w:tcW w:w="0" w:type="auto"/>
          </w:tcPr>
          <w:p w14:paraId="0DA17FF5" w14:textId="0895AA8E" w:rsidR="00D44AB5" w:rsidRDefault="00D44AB5" w:rsidP="00D44AB5">
            <w:r w:rsidRPr="00125CFC">
              <w:t>Increased amino acids (methionine and lysine)</w:t>
            </w:r>
          </w:p>
        </w:tc>
      </w:tr>
      <w:tr w:rsidR="00D44AB5" w14:paraId="469BC7FF" w14:textId="77777777" w:rsidTr="00997C42">
        <w:tc>
          <w:tcPr>
            <w:tcW w:w="0" w:type="auto"/>
          </w:tcPr>
          <w:p w14:paraId="042A3928" w14:textId="2935B79B" w:rsidR="00D44AB5" w:rsidRDefault="00D44AB5" w:rsidP="00D44AB5">
            <w:r w:rsidRPr="00D449C4">
              <w:t>Clover</w:t>
            </w:r>
          </w:p>
        </w:tc>
        <w:tc>
          <w:tcPr>
            <w:tcW w:w="0" w:type="auto"/>
          </w:tcPr>
          <w:p w14:paraId="62DF7039" w14:textId="425437D9" w:rsidR="00D44AB5" w:rsidRDefault="00D44AB5" w:rsidP="00D44AB5">
            <w:r>
              <w:t>Amino acid</w:t>
            </w:r>
          </w:p>
        </w:tc>
        <w:tc>
          <w:tcPr>
            <w:tcW w:w="0" w:type="auto"/>
          </w:tcPr>
          <w:p w14:paraId="30E1197E" w14:textId="3B6465FB" w:rsidR="00D44AB5" w:rsidRDefault="00D44AB5" w:rsidP="00D44AB5">
            <w:r w:rsidRPr="00D44AB5">
              <w:t>Increased amino acids (methionine and lysine)</w:t>
            </w:r>
          </w:p>
        </w:tc>
      </w:tr>
      <w:tr w:rsidR="00D44AB5" w14:paraId="16580A84" w14:textId="77777777" w:rsidTr="00997C42">
        <w:tc>
          <w:tcPr>
            <w:tcW w:w="0" w:type="auto"/>
            <w:vMerge w:val="restart"/>
          </w:tcPr>
          <w:p w14:paraId="61545794" w14:textId="2921AE5A" w:rsidR="00D44AB5" w:rsidRDefault="00D44AB5" w:rsidP="00D44AB5">
            <w:r w:rsidRPr="00D449C4">
              <w:t>Maize</w:t>
            </w:r>
          </w:p>
        </w:tc>
        <w:tc>
          <w:tcPr>
            <w:tcW w:w="0" w:type="auto"/>
          </w:tcPr>
          <w:p w14:paraId="7BB0AFB7" w14:textId="57FF7AFA" w:rsidR="00D44AB5" w:rsidRDefault="00D44AB5" w:rsidP="00D44AB5">
            <w:r>
              <w:t>Amino acid</w:t>
            </w:r>
          </w:p>
        </w:tc>
        <w:tc>
          <w:tcPr>
            <w:tcW w:w="0" w:type="auto"/>
          </w:tcPr>
          <w:p w14:paraId="4451EF59" w14:textId="4DF65170" w:rsidR="00D44AB5" w:rsidRDefault="00F32C57" w:rsidP="00D44AB5">
            <w:r w:rsidRPr="00F32C57">
              <w:t>High protein with balanced amino acids</w:t>
            </w:r>
          </w:p>
        </w:tc>
      </w:tr>
      <w:tr w:rsidR="00D44AB5" w14:paraId="59C4E643" w14:textId="77777777" w:rsidTr="00997C42">
        <w:tc>
          <w:tcPr>
            <w:tcW w:w="0" w:type="auto"/>
            <w:vMerge/>
          </w:tcPr>
          <w:p w14:paraId="4E218F40" w14:textId="77777777" w:rsidR="00D44AB5" w:rsidRPr="00D449C4" w:rsidRDefault="00D44AB5" w:rsidP="00D44AB5"/>
        </w:tc>
        <w:tc>
          <w:tcPr>
            <w:tcW w:w="0" w:type="auto"/>
          </w:tcPr>
          <w:p w14:paraId="788158FF" w14:textId="5C3D4AD5" w:rsidR="00D44AB5" w:rsidRDefault="00D44AB5" w:rsidP="00D44AB5">
            <w:r>
              <w:t>Mycotoxin</w:t>
            </w:r>
          </w:p>
        </w:tc>
        <w:tc>
          <w:tcPr>
            <w:tcW w:w="0" w:type="auto"/>
          </w:tcPr>
          <w:p w14:paraId="15402B2C" w14:textId="735C37F7" w:rsidR="00D44AB5" w:rsidRDefault="00F32C57" w:rsidP="00D44AB5">
            <w:proofErr w:type="spellStart"/>
            <w:r w:rsidRPr="00F32C57">
              <w:t>Fumosin</w:t>
            </w:r>
            <w:proofErr w:type="spellEnd"/>
            <w:r w:rsidRPr="00F32C57">
              <w:t xml:space="preserve"> detoxifying</w:t>
            </w:r>
          </w:p>
        </w:tc>
      </w:tr>
      <w:tr w:rsidR="00D44AB5" w14:paraId="37A4D6E9" w14:textId="77777777" w:rsidTr="00997C42">
        <w:tc>
          <w:tcPr>
            <w:tcW w:w="0" w:type="auto"/>
            <w:vMerge/>
          </w:tcPr>
          <w:p w14:paraId="4B00F63E" w14:textId="77777777" w:rsidR="00D44AB5" w:rsidRPr="00D449C4" w:rsidRDefault="00D44AB5" w:rsidP="00D44AB5"/>
        </w:tc>
        <w:tc>
          <w:tcPr>
            <w:tcW w:w="0" w:type="auto"/>
          </w:tcPr>
          <w:p w14:paraId="7EF37360" w14:textId="5839C329" w:rsidR="00D44AB5" w:rsidRDefault="00D44AB5" w:rsidP="00D44AB5">
            <w:r>
              <w:t>Oil</w:t>
            </w:r>
          </w:p>
        </w:tc>
        <w:tc>
          <w:tcPr>
            <w:tcW w:w="0" w:type="auto"/>
          </w:tcPr>
          <w:p w14:paraId="5C9E1552" w14:textId="2CEF0FB0" w:rsidR="00D44AB5" w:rsidRDefault="00F32C57" w:rsidP="00D44AB5">
            <w:r w:rsidRPr="00F32C57">
              <w:t>High oil content</w:t>
            </w:r>
          </w:p>
        </w:tc>
      </w:tr>
      <w:tr w:rsidR="00D44AB5" w14:paraId="6792CED9" w14:textId="77777777" w:rsidTr="00997C42">
        <w:tc>
          <w:tcPr>
            <w:tcW w:w="0" w:type="auto"/>
            <w:vMerge/>
          </w:tcPr>
          <w:p w14:paraId="26E2E32D" w14:textId="77777777" w:rsidR="00D44AB5" w:rsidRPr="00D449C4" w:rsidRDefault="00D44AB5" w:rsidP="00D44AB5"/>
        </w:tc>
        <w:tc>
          <w:tcPr>
            <w:tcW w:w="0" w:type="auto"/>
          </w:tcPr>
          <w:p w14:paraId="6931FF3A" w14:textId="2D2CCC8F" w:rsidR="00D44AB5" w:rsidRDefault="00D44AB5" w:rsidP="00D44AB5">
            <w:r w:rsidRPr="000F7D92">
              <w:t>Oil and/or amino acids</w:t>
            </w:r>
          </w:p>
        </w:tc>
        <w:tc>
          <w:tcPr>
            <w:tcW w:w="0" w:type="auto"/>
          </w:tcPr>
          <w:p w14:paraId="3E1931A8" w14:textId="2B300B36" w:rsidR="00D44AB5" w:rsidRDefault="00F32C57" w:rsidP="00D44AB5">
            <w:r w:rsidRPr="00F32C57">
              <w:t>High oil with increased digestibility</w:t>
            </w:r>
          </w:p>
        </w:tc>
      </w:tr>
      <w:tr w:rsidR="00D44AB5" w14:paraId="29C31DDA" w14:textId="77777777" w:rsidTr="00997C42">
        <w:tc>
          <w:tcPr>
            <w:tcW w:w="0" w:type="auto"/>
            <w:vMerge/>
          </w:tcPr>
          <w:p w14:paraId="59B9A308" w14:textId="77777777" w:rsidR="00D44AB5" w:rsidRPr="00D449C4" w:rsidRDefault="00D44AB5" w:rsidP="00D44AB5"/>
        </w:tc>
        <w:tc>
          <w:tcPr>
            <w:tcW w:w="0" w:type="auto"/>
          </w:tcPr>
          <w:p w14:paraId="41B05BB9" w14:textId="1348690F" w:rsidR="00D44AB5" w:rsidRDefault="00D44AB5" w:rsidP="00D44AB5">
            <w:r w:rsidRPr="00F82FAA">
              <w:t>Oil and/or P</w:t>
            </w:r>
          </w:p>
        </w:tc>
        <w:tc>
          <w:tcPr>
            <w:tcW w:w="0" w:type="auto"/>
          </w:tcPr>
          <w:p w14:paraId="25BB9EAD" w14:textId="7EC4FC38" w:rsidR="00D44AB5" w:rsidRDefault="00F32C57" w:rsidP="00D44AB5">
            <w:r w:rsidRPr="00F32C57">
              <w:t>High oil with increased P availability</w:t>
            </w:r>
          </w:p>
        </w:tc>
      </w:tr>
      <w:tr w:rsidR="00D44AB5" w14:paraId="6C880BC7" w14:textId="77777777" w:rsidTr="00997C42">
        <w:tc>
          <w:tcPr>
            <w:tcW w:w="0" w:type="auto"/>
            <w:vMerge w:val="restart"/>
          </w:tcPr>
          <w:p w14:paraId="4A9833FB" w14:textId="468775AC" w:rsidR="00D44AB5" w:rsidRDefault="00D44AB5" w:rsidP="00D44AB5">
            <w:r w:rsidRPr="00D449C4">
              <w:t>Canola</w:t>
            </w:r>
          </w:p>
        </w:tc>
        <w:tc>
          <w:tcPr>
            <w:tcW w:w="0" w:type="auto"/>
          </w:tcPr>
          <w:p w14:paraId="4C0F0FB5" w14:textId="47126F19" w:rsidR="00D44AB5" w:rsidRDefault="00D44AB5" w:rsidP="00D44AB5">
            <w:r>
              <w:t>Oil</w:t>
            </w:r>
          </w:p>
        </w:tc>
        <w:tc>
          <w:tcPr>
            <w:tcW w:w="0" w:type="auto"/>
          </w:tcPr>
          <w:p w14:paraId="78DA5F54" w14:textId="188D0345" w:rsidR="00D44AB5" w:rsidRDefault="005608D2" w:rsidP="00D44AB5">
            <w:r w:rsidRPr="005608D2">
              <w:t>Low saturates and/or high monounsaturated fatty acids and/or low polyunsaturated fatty acids</w:t>
            </w:r>
          </w:p>
        </w:tc>
      </w:tr>
      <w:tr w:rsidR="00D44AB5" w14:paraId="3E77B2BA" w14:textId="77777777" w:rsidTr="00997C42">
        <w:tc>
          <w:tcPr>
            <w:tcW w:w="0" w:type="auto"/>
            <w:vMerge/>
          </w:tcPr>
          <w:p w14:paraId="1F1006B4" w14:textId="77777777" w:rsidR="00D44AB5" w:rsidRPr="00D449C4" w:rsidRDefault="00D44AB5" w:rsidP="00D44AB5"/>
        </w:tc>
        <w:tc>
          <w:tcPr>
            <w:tcW w:w="0" w:type="auto"/>
          </w:tcPr>
          <w:p w14:paraId="44DDDF4A" w14:textId="0D48E81F" w:rsidR="00D44AB5" w:rsidRDefault="00D44AB5" w:rsidP="00D44AB5">
            <w:r>
              <w:t>Oil</w:t>
            </w:r>
          </w:p>
        </w:tc>
        <w:tc>
          <w:tcPr>
            <w:tcW w:w="0" w:type="auto"/>
          </w:tcPr>
          <w:p w14:paraId="0ECBE0B2" w14:textId="41FB227F" w:rsidR="00D44AB5" w:rsidRDefault="005608D2" w:rsidP="00D44AB5">
            <w:r w:rsidRPr="005608D2">
              <w:t>High oil</w:t>
            </w:r>
          </w:p>
        </w:tc>
      </w:tr>
      <w:tr w:rsidR="00D44AB5" w14:paraId="71809560" w14:textId="77777777" w:rsidTr="00997C42">
        <w:tc>
          <w:tcPr>
            <w:tcW w:w="0" w:type="auto"/>
          </w:tcPr>
          <w:p w14:paraId="3A38D1A5" w14:textId="3807E553" w:rsidR="00D44AB5" w:rsidRDefault="00D44AB5" w:rsidP="00D44AB5">
            <w:r w:rsidRPr="00B53764">
              <w:t>Lupin</w:t>
            </w:r>
          </w:p>
        </w:tc>
        <w:tc>
          <w:tcPr>
            <w:tcW w:w="0" w:type="auto"/>
          </w:tcPr>
          <w:p w14:paraId="30CF86A0" w14:textId="2E23E836" w:rsidR="00D44AB5" w:rsidRDefault="00D44AB5" w:rsidP="00D44AB5">
            <w:r>
              <w:t>Amino acids</w:t>
            </w:r>
          </w:p>
        </w:tc>
        <w:tc>
          <w:tcPr>
            <w:tcW w:w="0" w:type="auto"/>
          </w:tcPr>
          <w:p w14:paraId="246C803E" w14:textId="6AD1E7AA" w:rsidR="00D44AB5" w:rsidRDefault="005608D2" w:rsidP="00D44AB5">
            <w:r w:rsidRPr="005608D2">
              <w:t>Increased amino acids</w:t>
            </w:r>
          </w:p>
        </w:tc>
      </w:tr>
      <w:tr w:rsidR="00D44AB5" w14:paraId="2D835B7A" w14:textId="77777777" w:rsidTr="00997C42">
        <w:tc>
          <w:tcPr>
            <w:tcW w:w="0" w:type="auto"/>
          </w:tcPr>
          <w:p w14:paraId="6CEF6F52" w14:textId="0764C9AE" w:rsidR="00D44AB5" w:rsidRDefault="00D44AB5" w:rsidP="00D44AB5">
            <w:r>
              <w:t>Peas</w:t>
            </w:r>
          </w:p>
        </w:tc>
        <w:tc>
          <w:tcPr>
            <w:tcW w:w="0" w:type="auto"/>
          </w:tcPr>
          <w:p w14:paraId="388E88E9" w14:textId="60D9E5D4" w:rsidR="00D44AB5" w:rsidRDefault="00D44AB5" w:rsidP="00D44AB5">
            <w:r>
              <w:t>Amino acids</w:t>
            </w:r>
          </w:p>
        </w:tc>
        <w:tc>
          <w:tcPr>
            <w:tcW w:w="0" w:type="auto"/>
          </w:tcPr>
          <w:p w14:paraId="4F2730AE" w14:textId="55F11FD5" w:rsidR="00D44AB5" w:rsidRDefault="005608D2" w:rsidP="00D44AB5">
            <w:r w:rsidRPr="005608D2">
              <w:t>Increased amino acids (methionine)</w:t>
            </w:r>
          </w:p>
        </w:tc>
      </w:tr>
      <w:tr w:rsidR="00D44AB5" w14:paraId="5BC25996" w14:textId="77777777" w:rsidTr="00997C42">
        <w:tc>
          <w:tcPr>
            <w:tcW w:w="0" w:type="auto"/>
            <w:vMerge w:val="restart"/>
          </w:tcPr>
          <w:p w14:paraId="7E02A779" w14:textId="4F08B7CA" w:rsidR="00D44AB5" w:rsidRDefault="00D44AB5" w:rsidP="00D44AB5">
            <w:r>
              <w:t>Soybean</w:t>
            </w:r>
          </w:p>
        </w:tc>
        <w:tc>
          <w:tcPr>
            <w:tcW w:w="0" w:type="auto"/>
          </w:tcPr>
          <w:p w14:paraId="46DFC31E" w14:textId="2B660871" w:rsidR="00D44AB5" w:rsidRDefault="000A1248" w:rsidP="00D44AB5">
            <w:r w:rsidRPr="000A1248">
              <w:t>Protein</w:t>
            </w:r>
            <w:r>
              <w:t xml:space="preserve"> levels</w:t>
            </w:r>
          </w:p>
        </w:tc>
        <w:tc>
          <w:tcPr>
            <w:tcW w:w="0" w:type="auto"/>
          </w:tcPr>
          <w:p w14:paraId="114D40F9" w14:textId="6FB3EA4E" w:rsidR="00D44AB5" w:rsidRDefault="000A1248" w:rsidP="00D44AB5">
            <w:r w:rsidRPr="000A1248">
              <w:t>Increased levels of proteins</w:t>
            </w:r>
          </w:p>
        </w:tc>
      </w:tr>
      <w:tr w:rsidR="00D44AB5" w14:paraId="7CF3B22F" w14:textId="77777777" w:rsidTr="00997C42">
        <w:tc>
          <w:tcPr>
            <w:tcW w:w="0" w:type="auto"/>
            <w:vMerge/>
          </w:tcPr>
          <w:p w14:paraId="43A3C988" w14:textId="77777777" w:rsidR="00D44AB5" w:rsidRDefault="00D44AB5" w:rsidP="00D44AB5"/>
        </w:tc>
        <w:tc>
          <w:tcPr>
            <w:tcW w:w="0" w:type="auto"/>
          </w:tcPr>
          <w:p w14:paraId="7D7747E2" w14:textId="4B25E828" w:rsidR="00D44AB5" w:rsidRDefault="000A1248" w:rsidP="00D44AB5">
            <w:r w:rsidRPr="000A1248">
              <w:t>Anti-nut factor</w:t>
            </w:r>
          </w:p>
        </w:tc>
        <w:tc>
          <w:tcPr>
            <w:tcW w:w="0" w:type="auto"/>
          </w:tcPr>
          <w:p w14:paraId="640DB55E" w14:textId="60CC1CC0" w:rsidR="00D44AB5" w:rsidRDefault="000A1248" w:rsidP="00D44AB5">
            <w:r w:rsidRPr="000A1248">
              <w:t>Low stachyose</w:t>
            </w:r>
          </w:p>
        </w:tc>
      </w:tr>
      <w:tr w:rsidR="00D44AB5" w14:paraId="768F156E" w14:textId="77777777" w:rsidTr="00997C42">
        <w:tc>
          <w:tcPr>
            <w:tcW w:w="0" w:type="auto"/>
          </w:tcPr>
          <w:p w14:paraId="55A97E95" w14:textId="06769B2C" w:rsidR="00D44AB5" w:rsidRDefault="00D44AB5" w:rsidP="00D44AB5">
            <w:r>
              <w:t>Sorghum</w:t>
            </w:r>
          </w:p>
        </w:tc>
        <w:tc>
          <w:tcPr>
            <w:tcW w:w="0" w:type="auto"/>
          </w:tcPr>
          <w:p w14:paraId="626A0952" w14:textId="55E947B6" w:rsidR="00D44AB5" w:rsidRDefault="00997C42" w:rsidP="00D44AB5">
            <w:r w:rsidRPr="00997C42">
              <w:t>Carotenoid</w:t>
            </w:r>
          </w:p>
        </w:tc>
        <w:tc>
          <w:tcPr>
            <w:tcW w:w="0" w:type="auto"/>
          </w:tcPr>
          <w:p w14:paraId="18F47DE9" w14:textId="3158D5C4" w:rsidR="00D44AB5" w:rsidRDefault="00997C42" w:rsidP="00D44AB5">
            <w:r w:rsidRPr="00997C42">
              <w:t>High carotene</w:t>
            </w:r>
          </w:p>
        </w:tc>
      </w:tr>
    </w:tbl>
    <w:p w14:paraId="0584755B" w14:textId="77777777" w:rsidR="001428BD" w:rsidRPr="008167ED" w:rsidRDefault="001428BD" w:rsidP="008167ED">
      <w:r w:rsidRPr="008167ED">
        <w:rPr>
          <w:i/>
          <w:iCs/>
        </w:rPr>
        <w:t>Source: Glover, J. et al., 2005</w:t>
      </w:r>
      <w:r w:rsidRPr="008167ED">
        <w:t xml:space="preserve">, What’s in the Pipeline, Genetically modified crops under development in Australia, </w:t>
      </w:r>
      <w:r w:rsidRPr="008167ED">
        <w:rPr>
          <w:i/>
          <w:iCs/>
        </w:rPr>
        <w:t>Bureau of Rural Sciences, Canberra</w:t>
      </w:r>
      <w:r w:rsidRPr="008167ED">
        <w:t>.</w:t>
      </w:r>
    </w:p>
    <w:p w14:paraId="5A74B6E9" w14:textId="77777777" w:rsidR="008E4E34" w:rsidRDefault="001428BD" w:rsidP="00333203">
      <w:r w:rsidRPr="001428BD">
        <w:t>Plant oils are currently used to produce detergents, cosmetics, lubricants, plastics,</w:t>
      </w:r>
      <w:r>
        <w:t xml:space="preserve"> </w:t>
      </w:r>
      <w:proofErr w:type="gramStart"/>
      <w:r w:rsidRPr="001428BD">
        <w:t>soaps</w:t>
      </w:r>
      <w:proofErr w:type="gramEnd"/>
      <w:r w:rsidRPr="001428BD">
        <w:t xml:space="preserve"> and other chemicals. Examples of third generation crops that have been</w:t>
      </w:r>
      <w:r>
        <w:t xml:space="preserve"> </w:t>
      </w:r>
      <w:r w:rsidRPr="001428BD">
        <w:t>developed for industrial use are described in table 8. Crops and, in the future,</w:t>
      </w:r>
      <w:r>
        <w:t xml:space="preserve"> </w:t>
      </w:r>
      <w:r w:rsidRPr="001428BD">
        <w:t>animals may also be modified to produce pharmaceuticals, create antibodies and</w:t>
      </w:r>
      <w:r w:rsidR="008E4E34">
        <w:t xml:space="preserve"> </w:t>
      </w:r>
      <w:r w:rsidR="008E4E34" w:rsidRPr="008E4E34">
        <w:t xml:space="preserve">vaccines. Other potentials for </w:t>
      </w:r>
      <w:r w:rsidR="008E4E34" w:rsidRPr="008E4E34">
        <w:lastRenderedPageBreak/>
        <w:t>GM plants are for biofuels and to clean up industrial</w:t>
      </w:r>
      <w:r w:rsidR="008E4E34">
        <w:t xml:space="preserve"> </w:t>
      </w:r>
      <w:r w:rsidR="008E4E34" w:rsidRPr="008E4E34">
        <w:t>waste. However, with a few exceptions these applications are still in the technology</w:t>
      </w:r>
      <w:r w:rsidR="008E4E34">
        <w:t xml:space="preserve"> </w:t>
      </w:r>
      <w:r w:rsidR="008E4E34" w:rsidRPr="008E4E34">
        <w:t>development stage.</w:t>
      </w:r>
    </w:p>
    <w:p w14:paraId="0B9E2BB7" w14:textId="77777777" w:rsidR="001428BD" w:rsidRPr="00724A10" w:rsidRDefault="008E4E34" w:rsidP="00724A10">
      <w:pPr>
        <w:rPr>
          <w:b/>
          <w:bCs/>
        </w:rPr>
      </w:pPr>
      <w:r w:rsidRPr="00724A10">
        <w:rPr>
          <w:b/>
          <w:bCs/>
        </w:rPr>
        <w:t xml:space="preserve">Table 8: Some examples </w:t>
      </w:r>
      <w:r w:rsidR="00533FA5" w:rsidRPr="00724A10">
        <w:rPr>
          <w:b/>
          <w:bCs/>
        </w:rPr>
        <w:t>of GM oilseed crops with modifi</w:t>
      </w:r>
      <w:r w:rsidRPr="00724A10">
        <w:rPr>
          <w:b/>
          <w:bCs/>
        </w:rPr>
        <w:t>ed</w:t>
      </w:r>
      <w:r w:rsidR="00533FA5" w:rsidRPr="00724A10">
        <w:rPr>
          <w:b/>
          <w:bCs/>
        </w:rPr>
        <w:t xml:space="preserve"> oil content</w:t>
      </w:r>
    </w:p>
    <w:tbl>
      <w:tblPr>
        <w:tblStyle w:val="TableGrid"/>
        <w:tblW w:w="0" w:type="auto"/>
        <w:tblLook w:val="04A0" w:firstRow="1" w:lastRow="0" w:firstColumn="1" w:lastColumn="0" w:noHBand="0" w:noVBand="1"/>
      </w:tblPr>
      <w:tblGrid>
        <w:gridCol w:w="2254"/>
        <w:gridCol w:w="2254"/>
        <w:gridCol w:w="2254"/>
        <w:gridCol w:w="2254"/>
      </w:tblGrid>
      <w:tr w:rsidR="00D24E7D" w:rsidRPr="00D24E7D" w14:paraId="331E6FF1" w14:textId="77777777" w:rsidTr="00D24E7D">
        <w:tc>
          <w:tcPr>
            <w:tcW w:w="2254" w:type="dxa"/>
            <w:shd w:val="clear" w:color="auto" w:fill="000000" w:themeFill="text1"/>
          </w:tcPr>
          <w:p w14:paraId="2281949E" w14:textId="3476E449" w:rsidR="00D24E7D" w:rsidRPr="00D24E7D" w:rsidRDefault="00D24E7D" w:rsidP="00D24E7D">
            <w:pPr>
              <w:pStyle w:val="Tableheader"/>
              <w:rPr>
                <w:color w:val="FFFFFF" w:themeColor="background1"/>
              </w:rPr>
            </w:pPr>
            <w:r>
              <w:rPr>
                <w:color w:val="FFFFFF" w:themeColor="background1"/>
              </w:rPr>
              <w:t>Crop</w:t>
            </w:r>
          </w:p>
        </w:tc>
        <w:tc>
          <w:tcPr>
            <w:tcW w:w="2254" w:type="dxa"/>
            <w:shd w:val="clear" w:color="auto" w:fill="000000" w:themeFill="text1"/>
          </w:tcPr>
          <w:p w14:paraId="602F294B" w14:textId="4E43A66B" w:rsidR="00D24E7D" w:rsidRPr="00D24E7D" w:rsidRDefault="00D24E7D" w:rsidP="00D24E7D">
            <w:pPr>
              <w:pStyle w:val="Tableheader"/>
              <w:rPr>
                <w:color w:val="FFFFFF" w:themeColor="background1"/>
              </w:rPr>
            </w:pPr>
            <w:r>
              <w:rPr>
                <w:color w:val="FFFFFF" w:themeColor="background1"/>
              </w:rPr>
              <w:t>Modification</w:t>
            </w:r>
          </w:p>
        </w:tc>
        <w:tc>
          <w:tcPr>
            <w:tcW w:w="2254" w:type="dxa"/>
            <w:shd w:val="clear" w:color="auto" w:fill="000000" w:themeFill="text1"/>
          </w:tcPr>
          <w:p w14:paraId="0C500F6C" w14:textId="30CF82BA" w:rsidR="00D24E7D" w:rsidRPr="00D24E7D" w:rsidRDefault="00D24E7D" w:rsidP="00D24E7D">
            <w:pPr>
              <w:pStyle w:val="Tableheader"/>
              <w:rPr>
                <w:color w:val="FFFFFF" w:themeColor="background1"/>
              </w:rPr>
            </w:pPr>
            <w:r>
              <w:rPr>
                <w:color w:val="FFFFFF" w:themeColor="background1"/>
              </w:rPr>
              <w:t>Stage</w:t>
            </w:r>
          </w:p>
        </w:tc>
        <w:tc>
          <w:tcPr>
            <w:tcW w:w="2254" w:type="dxa"/>
            <w:shd w:val="clear" w:color="auto" w:fill="000000" w:themeFill="text1"/>
          </w:tcPr>
          <w:p w14:paraId="766C484C" w14:textId="5B5FDCAD" w:rsidR="00D24E7D" w:rsidRPr="00D24E7D" w:rsidRDefault="00D24E7D" w:rsidP="00D24E7D">
            <w:pPr>
              <w:pStyle w:val="Tableheader"/>
              <w:rPr>
                <w:color w:val="FFFFFF" w:themeColor="background1"/>
              </w:rPr>
            </w:pPr>
            <w:r>
              <w:rPr>
                <w:color w:val="FFFFFF" w:themeColor="background1"/>
              </w:rPr>
              <w:t>Use</w:t>
            </w:r>
          </w:p>
        </w:tc>
      </w:tr>
      <w:tr w:rsidR="00D24E7D" w14:paraId="48B7C2BD" w14:textId="77777777" w:rsidTr="00D24E7D">
        <w:tc>
          <w:tcPr>
            <w:tcW w:w="2254" w:type="dxa"/>
          </w:tcPr>
          <w:p w14:paraId="31B92C6B" w14:textId="61D92F27" w:rsidR="00D24E7D" w:rsidRDefault="005B7911" w:rsidP="00714C87">
            <w:r>
              <w:t>Canola</w:t>
            </w:r>
          </w:p>
        </w:tc>
        <w:tc>
          <w:tcPr>
            <w:tcW w:w="2254" w:type="dxa"/>
          </w:tcPr>
          <w:p w14:paraId="27E9E3BB" w14:textId="55BA0FDA" w:rsidR="00D24E7D" w:rsidRDefault="002D661B" w:rsidP="00714C87">
            <w:r w:rsidRPr="002D661B">
              <w:t>High laurate content</w:t>
            </w:r>
          </w:p>
        </w:tc>
        <w:tc>
          <w:tcPr>
            <w:tcW w:w="2254" w:type="dxa"/>
          </w:tcPr>
          <w:p w14:paraId="52D25520" w14:textId="6FB56C33" w:rsidR="00D24E7D" w:rsidRDefault="00F812C5" w:rsidP="00714C87">
            <w:r>
              <w:t>Commercial</w:t>
            </w:r>
          </w:p>
        </w:tc>
        <w:tc>
          <w:tcPr>
            <w:tcW w:w="2254" w:type="dxa"/>
          </w:tcPr>
          <w:p w14:paraId="6A187E72" w14:textId="3ECA915D" w:rsidR="00D24E7D" w:rsidRDefault="00C71D4D" w:rsidP="00714C87">
            <w:r w:rsidRPr="00C71D4D">
              <w:t>Detergent</w:t>
            </w:r>
          </w:p>
        </w:tc>
      </w:tr>
      <w:tr w:rsidR="00D24E7D" w14:paraId="339F8957" w14:textId="77777777" w:rsidTr="00D24E7D">
        <w:tc>
          <w:tcPr>
            <w:tcW w:w="2254" w:type="dxa"/>
          </w:tcPr>
          <w:p w14:paraId="4CB6B902" w14:textId="1CB6097B" w:rsidR="00D24E7D" w:rsidRDefault="005B7911" w:rsidP="00714C87">
            <w:r>
              <w:t>Soybean</w:t>
            </w:r>
          </w:p>
        </w:tc>
        <w:tc>
          <w:tcPr>
            <w:tcW w:w="2254" w:type="dxa"/>
          </w:tcPr>
          <w:p w14:paraId="18E44E3B" w14:textId="0E93489D" w:rsidR="00D24E7D" w:rsidRDefault="005C391A" w:rsidP="00714C87">
            <w:r w:rsidRPr="005C391A">
              <w:t>High oleate content</w:t>
            </w:r>
          </w:p>
        </w:tc>
        <w:tc>
          <w:tcPr>
            <w:tcW w:w="2254" w:type="dxa"/>
          </w:tcPr>
          <w:p w14:paraId="0999F25F" w14:textId="27858539" w:rsidR="00D24E7D" w:rsidRDefault="00F812C5" w:rsidP="00714C87">
            <w:r>
              <w:t>Commercial</w:t>
            </w:r>
          </w:p>
        </w:tc>
        <w:tc>
          <w:tcPr>
            <w:tcW w:w="2254" w:type="dxa"/>
          </w:tcPr>
          <w:p w14:paraId="71F3DE2E" w14:textId="5618C625" w:rsidR="00D24E7D" w:rsidRDefault="00C71D4D" w:rsidP="00714C87">
            <w:r w:rsidRPr="00C71D4D">
              <w:t>Food, lubricants</w:t>
            </w:r>
          </w:p>
        </w:tc>
      </w:tr>
      <w:tr w:rsidR="00D24E7D" w14:paraId="43FD9957" w14:textId="77777777" w:rsidTr="00D24E7D">
        <w:tc>
          <w:tcPr>
            <w:tcW w:w="2254" w:type="dxa"/>
          </w:tcPr>
          <w:p w14:paraId="0A64A78D" w14:textId="433E191D" w:rsidR="00D24E7D" w:rsidRDefault="005B7911" w:rsidP="00714C87">
            <w:r>
              <w:t>Soybean</w:t>
            </w:r>
          </w:p>
        </w:tc>
        <w:tc>
          <w:tcPr>
            <w:tcW w:w="2254" w:type="dxa"/>
          </w:tcPr>
          <w:p w14:paraId="527C70A3" w14:textId="61DDFAF7" w:rsidR="00D24E7D" w:rsidRDefault="005C391A" w:rsidP="00714C87">
            <w:r w:rsidRPr="005C391A">
              <w:t>High linolenic</w:t>
            </w:r>
          </w:p>
        </w:tc>
        <w:tc>
          <w:tcPr>
            <w:tcW w:w="2254" w:type="dxa"/>
          </w:tcPr>
          <w:p w14:paraId="0AFA01B2" w14:textId="22AA4381" w:rsidR="00D24E7D" w:rsidRDefault="00F812C5" w:rsidP="00714C87">
            <w:r>
              <w:t>In development</w:t>
            </w:r>
          </w:p>
        </w:tc>
        <w:tc>
          <w:tcPr>
            <w:tcW w:w="2254" w:type="dxa"/>
          </w:tcPr>
          <w:p w14:paraId="341FD365" w14:textId="2AA438F9" w:rsidR="00D24E7D" w:rsidRDefault="00C71D4D" w:rsidP="00714C87">
            <w:r w:rsidRPr="00C71D4D">
              <w:t>Coatings</w:t>
            </w:r>
          </w:p>
        </w:tc>
      </w:tr>
      <w:tr w:rsidR="00D24E7D" w14:paraId="39A71887" w14:textId="77777777" w:rsidTr="00D24E7D">
        <w:tc>
          <w:tcPr>
            <w:tcW w:w="2254" w:type="dxa"/>
          </w:tcPr>
          <w:p w14:paraId="72F07BAA" w14:textId="7A39D5DA" w:rsidR="00D24E7D" w:rsidRDefault="005B7911" w:rsidP="00714C87">
            <w:r>
              <w:t>Canola</w:t>
            </w:r>
          </w:p>
        </w:tc>
        <w:tc>
          <w:tcPr>
            <w:tcW w:w="2254" w:type="dxa"/>
          </w:tcPr>
          <w:p w14:paraId="0EC51987" w14:textId="3426EAA4" w:rsidR="00D24E7D" w:rsidRDefault="005C391A" w:rsidP="00714C87">
            <w:r w:rsidRPr="005C391A">
              <w:t>High stearate</w:t>
            </w:r>
          </w:p>
        </w:tc>
        <w:tc>
          <w:tcPr>
            <w:tcW w:w="2254" w:type="dxa"/>
          </w:tcPr>
          <w:p w14:paraId="3A7111C1" w14:textId="6276F905" w:rsidR="00D24E7D" w:rsidRDefault="00F812C5" w:rsidP="00714C87">
            <w:r>
              <w:t>Developed</w:t>
            </w:r>
          </w:p>
        </w:tc>
        <w:tc>
          <w:tcPr>
            <w:tcW w:w="2254" w:type="dxa"/>
          </w:tcPr>
          <w:p w14:paraId="1EC2FE6B" w14:textId="3129B460" w:rsidR="00D24E7D" w:rsidRDefault="00C71D4D" w:rsidP="00714C87">
            <w:r w:rsidRPr="00C71D4D">
              <w:t>Grease</w:t>
            </w:r>
          </w:p>
        </w:tc>
      </w:tr>
      <w:tr w:rsidR="00F812C5" w14:paraId="4A6DD9B5" w14:textId="77777777" w:rsidTr="00D24E7D">
        <w:tc>
          <w:tcPr>
            <w:tcW w:w="2254" w:type="dxa"/>
          </w:tcPr>
          <w:p w14:paraId="5A64BBB9" w14:textId="3A3C29FE" w:rsidR="00F812C5" w:rsidRDefault="00F812C5" w:rsidP="00F812C5">
            <w:r>
              <w:t>Canola</w:t>
            </w:r>
          </w:p>
        </w:tc>
        <w:tc>
          <w:tcPr>
            <w:tcW w:w="2254" w:type="dxa"/>
          </w:tcPr>
          <w:p w14:paraId="65828963" w14:textId="302AFC75" w:rsidR="00F812C5" w:rsidRDefault="00F812C5" w:rsidP="00F812C5">
            <w:proofErr w:type="spellStart"/>
            <w:r w:rsidRPr="005C391A">
              <w:t>Petroselenate</w:t>
            </w:r>
            <w:proofErr w:type="spellEnd"/>
          </w:p>
        </w:tc>
        <w:tc>
          <w:tcPr>
            <w:tcW w:w="2254" w:type="dxa"/>
          </w:tcPr>
          <w:p w14:paraId="5BDD8B5B" w14:textId="0ACDCD02" w:rsidR="00F812C5" w:rsidRDefault="00F812C5" w:rsidP="00F812C5">
            <w:r>
              <w:t>In development</w:t>
            </w:r>
          </w:p>
        </w:tc>
        <w:tc>
          <w:tcPr>
            <w:tcW w:w="2254" w:type="dxa"/>
          </w:tcPr>
          <w:p w14:paraId="5D380D94" w14:textId="1EBF36BC" w:rsidR="00F812C5" w:rsidRDefault="00C71D4D" w:rsidP="00F812C5">
            <w:r w:rsidRPr="00C71D4D">
              <w:t>Food, monomers</w:t>
            </w:r>
          </w:p>
        </w:tc>
      </w:tr>
      <w:tr w:rsidR="00F812C5" w14:paraId="6094A628" w14:textId="77777777" w:rsidTr="00D24E7D">
        <w:tc>
          <w:tcPr>
            <w:tcW w:w="2254" w:type="dxa"/>
          </w:tcPr>
          <w:p w14:paraId="7345C0A7" w14:textId="251CE42A" w:rsidR="00F812C5" w:rsidRDefault="00F812C5" w:rsidP="00F812C5">
            <w:r>
              <w:t>Soybean</w:t>
            </w:r>
          </w:p>
        </w:tc>
        <w:tc>
          <w:tcPr>
            <w:tcW w:w="2254" w:type="dxa"/>
          </w:tcPr>
          <w:p w14:paraId="55FCC6F2" w14:textId="2D82E6D0" w:rsidR="00F812C5" w:rsidRDefault="00F812C5" w:rsidP="00F812C5">
            <w:proofErr w:type="spellStart"/>
            <w:r w:rsidRPr="005C391A">
              <w:t>Vernolate</w:t>
            </w:r>
            <w:proofErr w:type="spellEnd"/>
          </w:p>
        </w:tc>
        <w:tc>
          <w:tcPr>
            <w:tcW w:w="2254" w:type="dxa"/>
          </w:tcPr>
          <w:p w14:paraId="5D690A8E" w14:textId="3B7E4691" w:rsidR="00F812C5" w:rsidRDefault="00F812C5" w:rsidP="00F812C5">
            <w:r>
              <w:t>In development</w:t>
            </w:r>
          </w:p>
        </w:tc>
        <w:tc>
          <w:tcPr>
            <w:tcW w:w="2254" w:type="dxa"/>
          </w:tcPr>
          <w:p w14:paraId="21C6BEDB" w14:textId="33ECBC27" w:rsidR="00F812C5" w:rsidRDefault="009C02D0" w:rsidP="00F812C5">
            <w:r w:rsidRPr="009C02D0">
              <w:t>Plasticizer,</w:t>
            </w:r>
            <w:r>
              <w:t xml:space="preserve"> coatings</w:t>
            </w:r>
          </w:p>
        </w:tc>
      </w:tr>
      <w:tr w:rsidR="00F812C5" w14:paraId="06B3E48C" w14:textId="77777777" w:rsidTr="00D24E7D">
        <w:tc>
          <w:tcPr>
            <w:tcW w:w="2254" w:type="dxa"/>
          </w:tcPr>
          <w:p w14:paraId="41B73B20" w14:textId="5F668586" w:rsidR="00F812C5" w:rsidRDefault="00F812C5" w:rsidP="00F812C5">
            <w:r>
              <w:t>Cotton</w:t>
            </w:r>
          </w:p>
        </w:tc>
        <w:tc>
          <w:tcPr>
            <w:tcW w:w="2254" w:type="dxa"/>
          </w:tcPr>
          <w:p w14:paraId="2D64185D" w14:textId="3F49A6A9" w:rsidR="00F812C5" w:rsidRDefault="00F812C5" w:rsidP="00F812C5">
            <w:r w:rsidRPr="00F812C5">
              <w:t>Low-saturates</w:t>
            </w:r>
          </w:p>
        </w:tc>
        <w:tc>
          <w:tcPr>
            <w:tcW w:w="2254" w:type="dxa"/>
          </w:tcPr>
          <w:p w14:paraId="7407642D" w14:textId="1A313FB9" w:rsidR="00F812C5" w:rsidRDefault="00F812C5" w:rsidP="00F812C5">
            <w:r>
              <w:t>In development</w:t>
            </w:r>
          </w:p>
        </w:tc>
        <w:tc>
          <w:tcPr>
            <w:tcW w:w="2254" w:type="dxa"/>
          </w:tcPr>
          <w:p w14:paraId="5A9AFB9F" w14:textId="1F72F5CE" w:rsidR="00F812C5" w:rsidRDefault="009C02D0" w:rsidP="00F812C5">
            <w:r>
              <w:t>Food uses</w:t>
            </w:r>
          </w:p>
        </w:tc>
      </w:tr>
    </w:tbl>
    <w:p w14:paraId="52797AC1" w14:textId="77777777" w:rsidR="008E4E34" w:rsidRPr="00ED5CA2" w:rsidRDefault="008E4E34" w:rsidP="00724A10">
      <w:r w:rsidRPr="00724A10">
        <w:rPr>
          <w:i/>
          <w:iCs/>
        </w:rPr>
        <w:t>Source: Glover, J. et al., 2005</w:t>
      </w:r>
      <w:r w:rsidRPr="00ED5CA2">
        <w:t>, What’s in t</w:t>
      </w:r>
      <w:r w:rsidR="00ED5CA2" w:rsidRPr="00ED5CA2">
        <w:t>he Pipeline, Genetically modifi</w:t>
      </w:r>
      <w:r w:rsidRPr="00ED5CA2">
        <w:t>ed crops</w:t>
      </w:r>
      <w:r w:rsidR="00ED5CA2" w:rsidRPr="00ED5CA2">
        <w:t xml:space="preserve"> </w:t>
      </w:r>
      <w:r w:rsidRPr="00ED5CA2">
        <w:t xml:space="preserve">under development in Australia, </w:t>
      </w:r>
      <w:r w:rsidRPr="00724A10">
        <w:rPr>
          <w:i/>
          <w:iCs/>
        </w:rPr>
        <w:t>Bureau of Rural Sciences, Canberra</w:t>
      </w:r>
      <w:r w:rsidRPr="00ED5CA2">
        <w:t>.</w:t>
      </w:r>
    </w:p>
    <w:p w14:paraId="23427AFD" w14:textId="77777777" w:rsidR="008E4E34" w:rsidRPr="00ED5CA2" w:rsidRDefault="00ED5CA2" w:rsidP="00DC43E8">
      <w:pPr>
        <w:pStyle w:val="Heading3"/>
      </w:pPr>
      <w:r w:rsidRPr="00ED5CA2">
        <w:t>Defi</w:t>
      </w:r>
      <w:r w:rsidR="008E4E34" w:rsidRPr="00ED5CA2">
        <w:t>nition of a GMO organism in the Act</w:t>
      </w:r>
    </w:p>
    <w:p w14:paraId="4960F704" w14:textId="77777777" w:rsidR="008E4E34" w:rsidRDefault="00ED5CA2" w:rsidP="00DC43E8">
      <w:r w:rsidRPr="00ED5CA2">
        <w:t>Section 10 of the Act defines a genetically modifi</w:t>
      </w:r>
      <w:r w:rsidR="008E4E34" w:rsidRPr="00ED5CA2">
        <w:t>ed organism as:</w:t>
      </w:r>
    </w:p>
    <w:p w14:paraId="61561997" w14:textId="067FCA65" w:rsidR="00DC43E8" w:rsidRPr="000F4ACF" w:rsidRDefault="000F4ACF" w:rsidP="00E6644A">
      <w:pPr>
        <w:shd w:val="clear" w:color="auto" w:fill="E7E6E6" w:themeFill="background2"/>
      </w:pPr>
      <w:r>
        <w:t xml:space="preserve">(a) </w:t>
      </w:r>
      <w:r w:rsidR="00DC43E8" w:rsidRPr="000F4ACF">
        <w:t>an organism that has been modified by gene technology: or</w:t>
      </w:r>
    </w:p>
    <w:p w14:paraId="3F209F6E" w14:textId="3602C511" w:rsidR="00DC43E8" w:rsidRPr="000F4ACF" w:rsidRDefault="000F4ACF" w:rsidP="00E6644A">
      <w:pPr>
        <w:shd w:val="clear" w:color="auto" w:fill="E7E6E6" w:themeFill="background2"/>
      </w:pPr>
      <w:r>
        <w:t xml:space="preserve">(b) </w:t>
      </w:r>
      <w:r w:rsidR="00DC43E8" w:rsidRPr="000F4ACF">
        <w:t xml:space="preserve">an organism that has inherited </w:t>
      </w:r>
      <w:proofErr w:type="gramStart"/>
      <w:r w:rsidR="00DC43E8" w:rsidRPr="000F4ACF">
        <w:t>particular traits</w:t>
      </w:r>
      <w:proofErr w:type="gramEnd"/>
      <w:r w:rsidR="00DC43E8" w:rsidRPr="000F4ACF">
        <w:t xml:space="preserve"> from an organism (the initial organism), being traits that occurred in the initial organism because of gene technology; or</w:t>
      </w:r>
    </w:p>
    <w:p w14:paraId="6191162D" w14:textId="4769B368" w:rsidR="00DC43E8" w:rsidRPr="000F4ACF" w:rsidRDefault="000F4ACF" w:rsidP="00E6644A">
      <w:pPr>
        <w:shd w:val="clear" w:color="auto" w:fill="E7E6E6" w:themeFill="background2"/>
      </w:pPr>
      <w:r>
        <w:t>(c)</w:t>
      </w:r>
      <w:r w:rsidR="007B3BDC">
        <w:t xml:space="preserve"> </w:t>
      </w:r>
      <w:r w:rsidR="00DC43E8" w:rsidRPr="000F4ACF">
        <w:t xml:space="preserve">anything declared by the regulations to be a genetically modified organism, or that belongs to a class of things declared by the regulations to be genetically modified </w:t>
      </w:r>
      <w:proofErr w:type="gramStart"/>
      <w:r w:rsidR="00DC43E8" w:rsidRPr="000F4ACF">
        <w:t>organisms;</w:t>
      </w:r>
      <w:proofErr w:type="gramEnd"/>
    </w:p>
    <w:p w14:paraId="160CA6AC" w14:textId="77777777" w:rsidR="00DC43E8" w:rsidRPr="00ED5CA2" w:rsidRDefault="00DC43E8" w:rsidP="00E6644A">
      <w:pPr>
        <w:shd w:val="clear" w:color="auto" w:fill="E7E6E6" w:themeFill="background2"/>
      </w:pPr>
      <w:r w:rsidRPr="00ED5CA2">
        <w:t>but does not include:</w:t>
      </w:r>
    </w:p>
    <w:p w14:paraId="7E62E4A7" w14:textId="766B4B6E" w:rsidR="00DC43E8" w:rsidRPr="007B3BDC" w:rsidRDefault="007B3BDC" w:rsidP="00E6644A">
      <w:pPr>
        <w:shd w:val="clear" w:color="auto" w:fill="E7E6E6" w:themeFill="background2"/>
      </w:pPr>
      <w:r>
        <w:t xml:space="preserve">(d) </w:t>
      </w:r>
      <w:r w:rsidR="00DC43E8" w:rsidRPr="007B3BDC">
        <w:t>a human being, if the human being is covered by paragraph (a) only because the human being has undergone somatic cell gene therapy; or</w:t>
      </w:r>
    </w:p>
    <w:p w14:paraId="32EAE882" w14:textId="594B886F" w:rsidR="00DC43E8" w:rsidRPr="007B3BDC" w:rsidRDefault="00E6644A" w:rsidP="00E6644A">
      <w:pPr>
        <w:shd w:val="clear" w:color="auto" w:fill="E7E6E6" w:themeFill="background2"/>
      </w:pPr>
      <w:r>
        <w:t>(e)</w:t>
      </w:r>
      <w:r w:rsidR="007B3BDC">
        <w:t xml:space="preserve"> </w:t>
      </w:r>
      <w:r w:rsidR="00DC43E8" w:rsidRPr="007B3BDC">
        <w:t>an organism declared by the regulations not to be a genetically modified organism, or that belongs to a class of organisms declared by the regulations not to be genetically modified organisms.</w:t>
      </w:r>
    </w:p>
    <w:p w14:paraId="14E3990A" w14:textId="77777777" w:rsidR="00ED5CA2" w:rsidRPr="00ED5CA2" w:rsidRDefault="00ED5CA2" w:rsidP="00570AB2">
      <w:r w:rsidRPr="00ED5CA2">
        <w:t>In the four years since the commencement of the Act, there has been no need to use</w:t>
      </w:r>
      <w:r>
        <w:t xml:space="preserve"> </w:t>
      </w:r>
      <w:r w:rsidRPr="00ED5CA2">
        <w:t>the Regulations to declare an organism to be a GMO or to declare that an organism is</w:t>
      </w:r>
      <w:r>
        <w:t xml:space="preserve"> </w:t>
      </w:r>
      <w:r w:rsidRPr="00ED5CA2">
        <w:t>not a GMO. However, the Review noted that this regulation-making power provides</w:t>
      </w:r>
      <w:r>
        <w:t xml:space="preserve"> </w:t>
      </w:r>
      <w:r w:rsidRPr="00ED5CA2">
        <w:t>considerable flexibility to the organisms covered by the Act.</w:t>
      </w:r>
    </w:p>
    <w:p w14:paraId="7A72DD63" w14:textId="4AB7B73D" w:rsidR="00ED5CA2" w:rsidRPr="00ED5CA2" w:rsidRDefault="00ED5CA2" w:rsidP="00570AB2">
      <w:r w:rsidRPr="00ED5CA2">
        <w:t>During consultations (</w:t>
      </w:r>
      <w:proofErr w:type="gramStart"/>
      <w:r w:rsidRPr="00ED5CA2">
        <w:t>with the exception of</w:t>
      </w:r>
      <w:proofErr w:type="gramEnd"/>
      <w:r w:rsidRPr="00ED5CA2">
        <w:t xml:space="preserve"> ribonucleic acid interference (RNAi)</w:t>
      </w:r>
      <w:r>
        <w:t xml:space="preserve"> </w:t>
      </w:r>
      <w:r w:rsidRPr="00ED5CA2">
        <w:t>technology which is discussed below) no examples were presented to the Review of</w:t>
      </w:r>
      <w:r>
        <w:t xml:space="preserve"> </w:t>
      </w:r>
      <w:r w:rsidRPr="00ED5CA2">
        <w:t xml:space="preserve">any organisms or emerging technologies that </w:t>
      </w:r>
      <w:r>
        <w:t>were currently outside the defi</w:t>
      </w:r>
      <w:r w:rsidRPr="00ED5CA2">
        <w:t>nition of</w:t>
      </w:r>
      <w:r>
        <w:t xml:space="preserve"> </w:t>
      </w:r>
      <w:r w:rsidRPr="00ED5CA2">
        <w:t xml:space="preserve">GMO. In </w:t>
      </w:r>
      <w:r w:rsidRPr="00570AB2">
        <w:t>addition</w:t>
      </w:r>
      <w:r w:rsidRPr="00ED5CA2">
        <w:t xml:space="preserve">, GTTAC </w:t>
      </w:r>
      <w:r w:rsidRPr="00ED5CA2">
        <w:lastRenderedPageBreak/>
        <w:t>did not identify any emerging GM technologies that need</w:t>
      </w:r>
      <w:r>
        <w:t xml:space="preserve"> </w:t>
      </w:r>
      <w:r w:rsidRPr="00ED5CA2">
        <w:t>to be regulated that are currently outside the scope of the Act.</w:t>
      </w:r>
    </w:p>
    <w:p w14:paraId="66B1CFF4" w14:textId="77777777" w:rsidR="00ED5CA2" w:rsidRPr="00ED5CA2" w:rsidRDefault="00ED5CA2" w:rsidP="00570AB2">
      <w:pPr>
        <w:pStyle w:val="Heading3"/>
      </w:pPr>
      <w:r w:rsidRPr="00ED5CA2">
        <w:t>RNA interference</w:t>
      </w:r>
    </w:p>
    <w:p w14:paraId="2F08B222" w14:textId="77777777" w:rsidR="00ED5CA2" w:rsidRPr="00570AB2" w:rsidRDefault="00ED5CA2" w:rsidP="00570AB2">
      <w:r w:rsidRPr="00570AB2">
        <w:t>In consultations, researchers described the emerging use of RNA interference (RNAi) technology to silence genes. RNA transfers information from the DNA sequence to make proteins. Gene silencing is a natural mechanism to degrade the RNA instructions of a gene thus stopping the gene from making its protein. As many applications of this technique change the traits of an organism but do not change its genes, they would be excluded from the current definition of a GMO.</w:t>
      </w:r>
    </w:p>
    <w:p w14:paraId="42722D95" w14:textId="77777777" w:rsidR="00ED5CA2" w:rsidRPr="00570AB2" w:rsidRDefault="00ED5CA2" w:rsidP="00570AB2">
      <w:r w:rsidRPr="00570AB2">
        <w:t>The Review was told by researchers that there is less potential for RNAi to pose a risk to health and safety of people and to the environment since it cannot introduce new traits but rather silences existing traits. Submissions from research institutions supported the current definition of GMO and noted that if required other organisms could be brought within the scope of the definition by regulations. In this way, a particular application of RNAi technology could be brought within the scope of the Act if it represented a potential risk to health and safety of people and to the environment. The Review concluded that the regulatory system was sufficiently flexible to deal with RNAi technology.</w:t>
      </w:r>
    </w:p>
    <w:p w14:paraId="3C098CCC" w14:textId="77777777" w:rsidR="00ED5CA2" w:rsidRPr="00570AB2" w:rsidRDefault="00ED5CA2" w:rsidP="00570AB2">
      <w:r w:rsidRPr="00570AB2">
        <w:t>The Review is aware that the Regulator continually monitors emerging technologies and their risks. Considering the flexible nature of the definition of a GMO, the Review saw no reason to change the definition in the Act. However, the Review considered it appropriate that the Act be reviewed periodically to ensure that it continues to address technological developments.</w:t>
      </w:r>
    </w:p>
    <w:p w14:paraId="2A07B9D3" w14:textId="77777777" w:rsidR="00ED5CA2" w:rsidRPr="00570AB2" w:rsidRDefault="00ED5CA2" w:rsidP="00570AB2">
      <w:pPr>
        <w:pStyle w:val="Recommendation"/>
      </w:pPr>
      <w:r w:rsidRPr="00570AB2">
        <w:t>Recommendation 8.1: The Review recommends the Act be reviewed in five years to ensure that it continues to accommodate emerging trends.</w:t>
      </w:r>
    </w:p>
    <w:p w14:paraId="4ADCD910" w14:textId="77777777" w:rsidR="00ED5CA2" w:rsidRPr="00ED5CA2" w:rsidRDefault="00ED5CA2" w:rsidP="0089346D">
      <w:pPr>
        <w:pStyle w:val="Heading2"/>
      </w:pPr>
      <w:bookmarkStart w:id="72" w:name="_Toc95326306"/>
      <w:r w:rsidRPr="00ED5CA2">
        <w:t>International developments</w:t>
      </w:r>
      <w:bookmarkEnd w:id="72"/>
    </w:p>
    <w:p w14:paraId="6DECF91B" w14:textId="2F458203" w:rsidR="001B7DFF" w:rsidRPr="0089346D" w:rsidRDefault="00ED5CA2" w:rsidP="0089346D">
      <w:r w:rsidRPr="0089346D">
        <w:t>For the purposes of identifying international developments in the gene technology field, the gene technology regulatory frameworks of selected countries have been summarised at Appendix 8. The table includes summaries of the gene technology frameworks of the European Union, New Zealand, Japan, the United States of</w:t>
      </w:r>
      <w:r w:rsidR="001B7DFF" w:rsidRPr="0089346D">
        <w:t xml:space="preserve"> America, Canada, </w:t>
      </w:r>
      <w:proofErr w:type="gramStart"/>
      <w:r w:rsidR="001B7DFF" w:rsidRPr="0089346D">
        <w:t>Argentina</w:t>
      </w:r>
      <w:proofErr w:type="gramEnd"/>
      <w:r w:rsidR="001B7DFF" w:rsidRPr="0089346D">
        <w:t xml:space="preserve"> and China. It is an updated version of a table contained in a Report on the Gene Technology Bill 2000 for the Senate Community Affairs Reference Committee entitled A Cautionary Tale: Fish Don’t Lay Tomatoes (published in November 2000). The information has been updated where necessary to incorporate changes that have occurred since 2000. The information used to update the table for all countries except China was sourced, where possible, from official government websites and compiled by the Secretariat</w:t>
      </w:r>
      <w:r w:rsidR="00E15FEC">
        <w:rPr>
          <w:rStyle w:val="FootnoteReference"/>
        </w:rPr>
        <w:footnoteReference w:id="8"/>
      </w:r>
      <w:r w:rsidR="001B7DFF" w:rsidRPr="0089346D">
        <w:t xml:space="preserve">. Sources included fact sheets, relevant </w:t>
      </w:r>
      <w:proofErr w:type="gramStart"/>
      <w:r w:rsidR="001B7DFF" w:rsidRPr="0089346D">
        <w:t>legislation</w:t>
      </w:r>
      <w:proofErr w:type="gramEnd"/>
      <w:r w:rsidR="001B7DFF" w:rsidRPr="0089346D">
        <w:t xml:space="preserve"> and interactions with overseas regulatory agencies.</w:t>
      </w:r>
    </w:p>
    <w:p w14:paraId="7DE8F014" w14:textId="77777777" w:rsidR="001B7DFF" w:rsidRPr="0089346D" w:rsidRDefault="001B7DFF" w:rsidP="0089346D">
      <w:r w:rsidRPr="0089346D">
        <w:t>Most of the countries examined do not have one overarching piece of legislation that governs gene technology regulation. Only New Zealand has attempted to centralise and consolidate its gene technology regulation, while Japan has no legislative framework, but rather a system of voluntary guidelines.</w:t>
      </w:r>
    </w:p>
    <w:p w14:paraId="33251434" w14:textId="77777777" w:rsidR="001B7DFF" w:rsidRDefault="001B7DFF" w:rsidP="0089346D">
      <w:r w:rsidRPr="0089346D">
        <w:lastRenderedPageBreak/>
        <w:t>The non-centralised approach adopted by most countries means that applications to use GMOs may require approval from more than one agency/authority before being granted permission to use GMOs. For example, in Canada, approval may be needed from three agencies to approve the GMO plant for release into the environment, for use as livestock feed and for use as human food; whereas in the US, approval may be needed from both the US Department of Agriculture and the Food and Drug Administration if a plant GMO is intended for general release for the purpose of being used for</w:t>
      </w:r>
      <w:r w:rsidRPr="001B7DFF">
        <w:t xml:space="preserve"> human food. However, in most countries there are different application</w:t>
      </w:r>
      <w:r>
        <w:t xml:space="preserve"> </w:t>
      </w:r>
      <w:r w:rsidRPr="001B7DFF">
        <w:t>processes depending on the intended use of the GMO.</w:t>
      </w:r>
    </w:p>
    <w:p w14:paraId="74AAAD92" w14:textId="77777777" w:rsidR="001B7DFF" w:rsidRPr="00CB492C" w:rsidRDefault="001B7DFF" w:rsidP="00CB492C">
      <w:r w:rsidRPr="00CB492C">
        <w:t>In seeking approval to use a GMO, safety assessments are required (either by the applicant or by a competent, relevant authority or both) on the potential risks to the environment and to human health. The information required for submission with the application to assess risks to the environment or human health is usually outlined in the legislation, with Canada and the European Union giving particularly detailed guidelines as to the requirements. The form of the environmental assessment varies by country, with the European Union and Canada requiring environmental risk assessments, whereas New Zealand conducts environmental impact assessments and the relevant agencies in the US may require both types of environmental assessment.</w:t>
      </w:r>
    </w:p>
    <w:p w14:paraId="5087096E" w14:textId="77777777" w:rsidR="001B7DFF" w:rsidRPr="00CB492C" w:rsidRDefault="001B7DFF" w:rsidP="00CB492C">
      <w:r w:rsidRPr="00CB492C">
        <w:t xml:space="preserve">Most countries have some provision for public consultations on applications for use of GMOs (especially for releases for experimental purposes and releases for commercial purposes). For example, the European Union, the United States, New </w:t>
      </w:r>
      <w:proofErr w:type="gramStart"/>
      <w:r w:rsidRPr="00CB492C">
        <w:t>Zealand</w:t>
      </w:r>
      <w:proofErr w:type="gramEnd"/>
      <w:r w:rsidRPr="00CB492C">
        <w:t xml:space="preserve"> and Canada all have provision for public consultation, with the period of public consultation being no longer than 30 days in New Zealand and up to 60 days in Canada and the United States. Some countries exclude the period of public consultation from the time in which the regulator or competent, relevant authority is required to </w:t>
      </w:r>
      <w:proofErr w:type="gramStart"/>
      <w:r w:rsidRPr="00CB492C">
        <w:t>make a decision</w:t>
      </w:r>
      <w:proofErr w:type="gramEnd"/>
      <w:r w:rsidRPr="00CB492C">
        <w:t xml:space="preserve">. This can also be the case for any time requirement involved in providing the regulator or competent relevant authority with additional information for the purposes of </w:t>
      </w:r>
      <w:proofErr w:type="gramStart"/>
      <w:r w:rsidRPr="00CB492C">
        <w:t>making a decision</w:t>
      </w:r>
      <w:proofErr w:type="gramEnd"/>
      <w:r w:rsidRPr="00CB492C">
        <w:t xml:space="preserve"> on the use of a GMO (as in the United States and the European Union).</w:t>
      </w:r>
    </w:p>
    <w:p w14:paraId="708CEE1E" w14:textId="77777777" w:rsidR="001B7DFF" w:rsidRPr="00CB492C" w:rsidRDefault="001B7DFF" w:rsidP="00CB492C">
      <w:r w:rsidRPr="00CB492C">
        <w:t xml:space="preserve">Legislation governing work with GMOs in most countries contains provisions for penalties to be applied in cases of contravention (as in the United States, Canada, New Zealand, </w:t>
      </w:r>
      <w:proofErr w:type="gramStart"/>
      <w:r w:rsidRPr="00CB492C">
        <w:t>China</w:t>
      </w:r>
      <w:proofErr w:type="gramEnd"/>
      <w:r w:rsidRPr="00CB492C">
        <w:t xml:space="preserve"> and the European Union). In the European Commission, member states are responsible for determining the nature and range of penalties. Most penalties involve fines or jail terms or both. Usually, common law principles apply to those harmed </w:t>
      </w:r>
      <w:proofErr w:type="gramStart"/>
      <w:r w:rsidRPr="00CB492C">
        <w:t>by the use of</w:t>
      </w:r>
      <w:proofErr w:type="gramEnd"/>
      <w:r w:rsidRPr="00CB492C">
        <w:t xml:space="preserve"> GMOs.</w:t>
      </w:r>
    </w:p>
    <w:p w14:paraId="052CDD93" w14:textId="77777777" w:rsidR="001B7DFF" w:rsidRPr="00CB492C" w:rsidRDefault="001B7DFF" w:rsidP="00CB492C">
      <w:r w:rsidRPr="00CB492C">
        <w:t>Most of the countries examined have some form of monitoring of procedures and conditions and whether they are adequate at preventing adverse effects on the environment and human health.</w:t>
      </w:r>
    </w:p>
    <w:p w14:paraId="2F635094" w14:textId="77777777" w:rsidR="001B7DFF" w:rsidRPr="00CB492C" w:rsidRDefault="001B7DFF" w:rsidP="00CB492C">
      <w:r w:rsidRPr="00CB492C">
        <w:t xml:space="preserve">The Review did not find any innovative approaches to regulating GMOs that would improve the Act. The Review concluded that of the countries examined, with the exception of New Zealand, most countries had used their existing product regulatory agencies to assess </w:t>
      </w:r>
      <w:proofErr w:type="gramStart"/>
      <w:r w:rsidRPr="00CB492C">
        <w:t>GMOs</w:t>
      </w:r>
      <w:proofErr w:type="gramEnd"/>
      <w:r w:rsidRPr="00CB492C">
        <w:t xml:space="preserve"> and, from the community’s perspective, the Australian system is one of the most rigorous, transparent and accessible. It is also flexible enough to deal with rapidly changing technology for the near future. </w:t>
      </w:r>
      <w:proofErr w:type="gramStart"/>
      <w:r w:rsidRPr="00CB492C">
        <w:t>However</w:t>
      </w:r>
      <w:proofErr w:type="gramEnd"/>
      <w:r w:rsidRPr="00CB492C">
        <w:t xml:space="preserve"> the Review saw a need to continue to monitor this situation on a regular basis. This is covered in recommendation 8.1.</w:t>
      </w:r>
    </w:p>
    <w:p w14:paraId="6834898B" w14:textId="77777777" w:rsidR="00CB492C" w:rsidRPr="00CB492C" w:rsidRDefault="00CB492C" w:rsidP="00CB492C">
      <w:r w:rsidRPr="00CB492C">
        <w:br w:type="page"/>
      </w:r>
    </w:p>
    <w:p w14:paraId="5D95EDA6" w14:textId="507406A9" w:rsidR="00ED5CA2" w:rsidRPr="00D34D0C" w:rsidRDefault="00D34D0C" w:rsidP="00D34D0C">
      <w:pPr>
        <w:pStyle w:val="Heading1"/>
      </w:pPr>
      <w:bookmarkStart w:id="73" w:name="_Toc95326307"/>
      <w:r>
        <w:lastRenderedPageBreak/>
        <w:t xml:space="preserve">Chapter 9: </w:t>
      </w:r>
      <w:r w:rsidR="00706F12" w:rsidRPr="00D34D0C">
        <w:t>IGA ACHIEVING ITS AIMS</w:t>
      </w:r>
      <w:bookmarkEnd w:id="73"/>
    </w:p>
    <w:p w14:paraId="3159F130" w14:textId="77777777" w:rsidR="00CB492C" w:rsidRPr="00CB492C" w:rsidRDefault="00CB492C" w:rsidP="00CB492C">
      <w:pPr>
        <w:shd w:val="clear" w:color="auto" w:fill="E2EFD9" w:themeFill="accent6" w:themeFillTint="33"/>
        <w:rPr>
          <w:b/>
          <w:bCs/>
        </w:rPr>
      </w:pPr>
      <w:r w:rsidRPr="00CB492C">
        <w:rPr>
          <w:b/>
          <w:bCs/>
        </w:rPr>
        <w:t>Term of reference 12:</w:t>
      </w:r>
    </w:p>
    <w:p w14:paraId="62868DB6" w14:textId="77777777" w:rsidR="00CB492C" w:rsidRPr="00CB492C" w:rsidRDefault="00CB492C" w:rsidP="00CB492C">
      <w:pPr>
        <w:shd w:val="clear" w:color="auto" w:fill="E2EFD9" w:themeFill="accent6" w:themeFillTint="33"/>
      </w:pPr>
      <w:r w:rsidRPr="00CB492C">
        <w:t>Investigate whether the Inter-governmental Agreement on Gene Technology is achieving the aims listed in its Recitals</w:t>
      </w:r>
    </w:p>
    <w:p w14:paraId="0FB11D01" w14:textId="42D1DC69" w:rsidR="00706F12" w:rsidRPr="00706F12" w:rsidRDefault="00706F12" w:rsidP="00CB492C">
      <w:r w:rsidRPr="00706F12">
        <w:t>The IGA between the Commonwealth and the States underpins the national</w:t>
      </w:r>
      <w:r>
        <w:t xml:space="preserve"> </w:t>
      </w:r>
      <w:r w:rsidRPr="00706F12">
        <w:t>regulatory system for gene technology. The recitals to the IGA (see Appendix 6) state</w:t>
      </w:r>
      <w:r>
        <w:t xml:space="preserve"> </w:t>
      </w:r>
      <w:r w:rsidRPr="00706F12">
        <w:t>that Governments agreed that there was a need for a cooperative national legislative</w:t>
      </w:r>
      <w:r>
        <w:t xml:space="preserve"> </w:t>
      </w:r>
      <w:r w:rsidRPr="00706F12">
        <w:t>scheme that should:</w:t>
      </w:r>
    </w:p>
    <w:p w14:paraId="18B265EA" w14:textId="77777777" w:rsidR="00706F12" w:rsidRPr="00082667" w:rsidRDefault="00706F12" w:rsidP="009F018E">
      <w:pPr>
        <w:pStyle w:val="ListParagraph"/>
        <w:numPr>
          <w:ilvl w:val="0"/>
          <w:numId w:val="25"/>
        </w:numPr>
      </w:pPr>
      <w:r w:rsidRPr="00082667">
        <w:t xml:space="preserve">be efficient and </w:t>
      </w:r>
      <w:proofErr w:type="gramStart"/>
      <w:r w:rsidRPr="00082667">
        <w:t>effective;</w:t>
      </w:r>
      <w:proofErr w:type="gramEnd"/>
    </w:p>
    <w:p w14:paraId="0EFC7E7A" w14:textId="77777777" w:rsidR="00706F12" w:rsidRPr="00082667" w:rsidRDefault="00706F12" w:rsidP="009F018E">
      <w:pPr>
        <w:pStyle w:val="ListParagraph"/>
        <w:numPr>
          <w:ilvl w:val="0"/>
          <w:numId w:val="25"/>
        </w:numPr>
      </w:pPr>
      <w:r w:rsidRPr="00082667">
        <w:t xml:space="preserve">operate in a seamless </w:t>
      </w:r>
      <w:proofErr w:type="gramStart"/>
      <w:r w:rsidRPr="00082667">
        <w:t>manner;</w:t>
      </w:r>
      <w:proofErr w:type="gramEnd"/>
    </w:p>
    <w:p w14:paraId="078CD834" w14:textId="77777777" w:rsidR="00706F12" w:rsidRPr="00082667" w:rsidRDefault="00706F12" w:rsidP="009F018E">
      <w:pPr>
        <w:pStyle w:val="ListParagraph"/>
        <w:numPr>
          <w:ilvl w:val="0"/>
          <w:numId w:val="25"/>
        </w:numPr>
      </w:pPr>
      <w:r w:rsidRPr="00082667">
        <w:t xml:space="preserve">be nationally </w:t>
      </w:r>
      <w:proofErr w:type="gramStart"/>
      <w:r w:rsidRPr="00082667">
        <w:t>consistent;</w:t>
      </w:r>
      <w:proofErr w:type="gramEnd"/>
    </w:p>
    <w:p w14:paraId="414EFA1D" w14:textId="77777777" w:rsidR="00706F12" w:rsidRPr="00082667" w:rsidRDefault="00706F12" w:rsidP="009F018E">
      <w:pPr>
        <w:pStyle w:val="ListParagraph"/>
        <w:numPr>
          <w:ilvl w:val="0"/>
          <w:numId w:val="25"/>
        </w:numPr>
      </w:pPr>
      <w:r w:rsidRPr="00082667">
        <w:t>be based on a scientific assessment of risks undertaken by an independent</w:t>
      </w:r>
    </w:p>
    <w:p w14:paraId="0DDDFF5B" w14:textId="77777777" w:rsidR="00706F12" w:rsidRPr="00082667" w:rsidRDefault="00706F12" w:rsidP="009F018E">
      <w:pPr>
        <w:pStyle w:val="ListParagraph"/>
        <w:numPr>
          <w:ilvl w:val="0"/>
          <w:numId w:val="25"/>
        </w:numPr>
      </w:pPr>
      <w:proofErr w:type="gramStart"/>
      <w:r w:rsidRPr="00082667">
        <w:t>regulator;</w:t>
      </w:r>
      <w:proofErr w:type="gramEnd"/>
    </w:p>
    <w:p w14:paraId="189A1137" w14:textId="77777777" w:rsidR="00706F12" w:rsidRPr="00082667" w:rsidRDefault="00706F12" w:rsidP="009F018E">
      <w:pPr>
        <w:pStyle w:val="ListParagraph"/>
        <w:numPr>
          <w:ilvl w:val="0"/>
          <w:numId w:val="25"/>
        </w:numPr>
      </w:pPr>
      <w:r w:rsidRPr="00082667">
        <w:t xml:space="preserve">ensure that the regulatory burden is consistent with the </w:t>
      </w:r>
      <w:proofErr w:type="gramStart"/>
      <w:r w:rsidRPr="00082667">
        <w:t>risks;</w:t>
      </w:r>
      <w:proofErr w:type="gramEnd"/>
    </w:p>
    <w:p w14:paraId="69932592" w14:textId="77777777" w:rsidR="00706F12" w:rsidRPr="00082667" w:rsidRDefault="00706F12" w:rsidP="009F018E">
      <w:pPr>
        <w:pStyle w:val="ListParagraph"/>
        <w:numPr>
          <w:ilvl w:val="0"/>
          <w:numId w:val="25"/>
        </w:numPr>
      </w:pPr>
      <w:r w:rsidRPr="00082667">
        <w:t>be characterised by decision-making that is transparent and that incorporates</w:t>
      </w:r>
    </w:p>
    <w:p w14:paraId="4D1553E4" w14:textId="77777777" w:rsidR="00706F12" w:rsidRPr="00082667" w:rsidRDefault="00706F12" w:rsidP="009F018E">
      <w:pPr>
        <w:pStyle w:val="ListParagraph"/>
        <w:numPr>
          <w:ilvl w:val="0"/>
          <w:numId w:val="25"/>
        </w:numPr>
      </w:pPr>
      <w:r w:rsidRPr="00082667">
        <w:t xml:space="preserve">extensive stakeholder and community </w:t>
      </w:r>
      <w:proofErr w:type="gramStart"/>
      <w:r w:rsidRPr="00082667">
        <w:t>involvement;</w:t>
      </w:r>
      <w:proofErr w:type="gramEnd"/>
    </w:p>
    <w:p w14:paraId="4640235A" w14:textId="77777777" w:rsidR="00706F12" w:rsidRPr="00082667" w:rsidRDefault="00706F12" w:rsidP="009F018E">
      <w:pPr>
        <w:pStyle w:val="ListParagraph"/>
        <w:numPr>
          <w:ilvl w:val="0"/>
          <w:numId w:val="25"/>
        </w:numPr>
      </w:pPr>
      <w:r w:rsidRPr="00082667">
        <w:t>be able to respond to the developments in gene technology; and</w:t>
      </w:r>
    </w:p>
    <w:p w14:paraId="2598FF26" w14:textId="77777777" w:rsidR="00706F12" w:rsidRPr="00082667" w:rsidRDefault="00706F12" w:rsidP="009F018E">
      <w:pPr>
        <w:pStyle w:val="ListParagraph"/>
        <w:numPr>
          <w:ilvl w:val="0"/>
          <w:numId w:val="25"/>
        </w:numPr>
      </w:pPr>
      <w:r w:rsidRPr="00082667">
        <w:t>be consistent with Australia’s international treaty obligations.</w:t>
      </w:r>
    </w:p>
    <w:p w14:paraId="6B65E76E" w14:textId="575A3AFD" w:rsidR="00706F12" w:rsidRPr="00706F12" w:rsidRDefault="00706F12" w:rsidP="001A3F7B">
      <w:r w:rsidRPr="001A3F7B">
        <w:t>Chapter</w:t>
      </w:r>
      <w:r w:rsidRPr="00706F12">
        <w:t xml:space="preserve"> 9 focusses on items (a), (c) and (f). The Review’s conclusions in respect of the</w:t>
      </w:r>
      <w:r>
        <w:t xml:space="preserve"> </w:t>
      </w:r>
      <w:r w:rsidRPr="00706F12">
        <w:t>remaining items are set out in other parts of this Report. The Review heard that the</w:t>
      </w:r>
      <w:r>
        <w:t xml:space="preserve"> </w:t>
      </w:r>
      <w:r w:rsidRPr="00706F12">
        <w:t>overwhelming concerns were:</w:t>
      </w:r>
    </w:p>
    <w:p w14:paraId="3F6C606C" w14:textId="77777777" w:rsidR="00706F12" w:rsidRPr="001A3F7B" w:rsidRDefault="00706F12" w:rsidP="009F018E">
      <w:pPr>
        <w:pStyle w:val="ListParagraph"/>
        <w:numPr>
          <w:ilvl w:val="0"/>
          <w:numId w:val="26"/>
        </w:numPr>
      </w:pPr>
      <w:r w:rsidRPr="001A3F7B">
        <w:t xml:space="preserve">the failure to achieve national consistency because various states had chosen to impose moratoria on the growing of GM </w:t>
      </w:r>
      <w:proofErr w:type="gramStart"/>
      <w:r w:rsidRPr="001A3F7B">
        <w:t>crops;</w:t>
      </w:r>
      <w:proofErr w:type="gramEnd"/>
    </w:p>
    <w:p w14:paraId="3BBBD3A5" w14:textId="77777777" w:rsidR="00706F12" w:rsidRPr="001A3F7B" w:rsidRDefault="00706F12" w:rsidP="009F018E">
      <w:pPr>
        <w:pStyle w:val="ListParagraph"/>
        <w:numPr>
          <w:ilvl w:val="0"/>
          <w:numId w:val="26"/>
        </w:numPr>
      </w:pPr>
      <w:r w:rsidRPr="001A3F7B">
        <w:t>the lack of transparency in dealing with market considerations; and</w:t>
      </w:r>
    </w:p>
    <w:p w14:paraId="2FB33490" w14:textId="77777777" w:rsidR="00706F12" w:rsidRPr="001A3F7B" w:rsidRDefault="00706F12" w:rsidP="009F018E">
      <w:pPr>
        <w:pStyle w:val="ListParagraph"/>
        <w:numPr>
          <w:ilvl w:val="0"/>
          <w:numId w:val="26"/>
        </w:numPr>
      </w:pPr>
      <w:r w:rsidRPr="001A3F7B">
        <w:t>the resulting impact on the effectiveness of the scheme.</w:t>
      </w:r>
    </w:p>
    <w:p w14:paraId="1E5706FB" w14:textId="4D45879C" w:rsidR="00706F12" w:rsidRDefault="00706F12" w:rsidP="001A3F7B">
      <w:pPr>
        <w:pStyle w:val="Heading2"/>
        <w:rPr>
          <w:rFonts w:asciiTheme="minorHAnsi" w:hAnsiTheme="minorHAnsi" w:cstheme="minorHAnsi"/>
          <w:szCs w:val="22"/>
        </w:rPr>
      </w:pPr>
      <w:bookmarkStart w:id="74" w:name="_Toc95326308"/>
      <w:r w:rsidRPr="00706F12">
        <w:rPr>
          <w:rStyle w:val="Heading2Char"/>
          <w:b/>
        </w:rPr>
        <w:t>Policy Principles</w:t>
      </w:r>
      <w:bookmarkEnd w:id="74"/>
    </w:p>
    <w:p w14:paraId="0BB3A0AE" w14:textId="77777777" w:rsidR="00706F12" w:rsidRPr="001A3F7B" w:rsidRDefault="00706F12" w:rsidP="001A3F7B">
      <w:r w:rsidRPr="001A3F7B">
        <w:t>As discussed in chapter 2, the IGA established the GTMC, which is responsible for the gene technology policy framework. The Act allows the GTMC to issue policy principles for a range of matters related to GMOs and crops. The Regulator is required to observe such principles. In short, the Regulator must not issue a licence under the legislation if it would be inconsistent with a policy principle.</w:t>
      </w:r>
    </w:p>
    <w:p w14:paraId="683C8EED" w14:textId="77777777" w:rsidR="00706F12" w:rsidRPr="001A3F7B" w:rsidRDefault="00706F12" w:rsidP="001A3F7B">
      <w:r w:rsidRPr="001A3F7B">
        <w:t>To date, only one policy principle has been issued. As of 5 September 2003, States can recognise areas, designated under State law, for the purpose of preserving the identity of GM or non-GM crops (or both) for marketing purposes. This situation reflects State responsibility for economic development within jurisdictions, and accordingly, the right of States to pass laws on matters other than health and safety of people and the environment in the context of gene technology. Provision also exists for the GTMC to issue policy principles for ethical issues relating to dealings with GMOs. This has yet to happen.</w:t>
      </w:r>
    </w:p>
    <w:p w14:paraId="28B2A732" w14:textId="77777777" w:rsidR="00706F12" w:rsidRPr="001A3F7B" w:rsidRDefault="00706F12" w:rsidP="001A3F7B">
      <w:r w:rsidRPr="001A3F7B">
        <w:t>Under this legislative power, all States except Queensland and the Northern Territory have imposed moratoria (see table 9) on various dealings with GMOs.</w:t>
      </w:r>
    </w:p>
    <w:p w14:paraId="67E05CBE" w14:textId="77777777" w:rsidR="00706F12" w:rsidRPr="001A3F7B" w:rsidRDefault="00706F12" w:rsidP="00FF4F3E">
      <w:pPr>
        <w:keepNext/>
        <w:rPr>
          <w:b/>
          <w:bCs/>
        </w:rPr>
      </w:pPr>
      <w:r w:rsidRPr="001A3F7B">
        <w:rPr>
          <w:b/>
          <w:bCs/>
        </w:rPr>
        <w:lastRenderedPageBreak/>
        <w:t>Table 9: Gene technology moratoria legislation</w:t>
      </w:r>
    </w:p>
    <w:tbl>
      <w:tblPr>
        <w:tblStyle w:val="TableGrid"/>
        <w:tblW w:w="0" w:type="auto"/>
        <w:tblLook w:val="04A0" w:firstRow="1" w:lastRow="0" w:firstColumn="1" w:lastColumn="0" w:noHBand="0" w:noVBand="1"/>
      </w:tblPr>
      <w:tblGrid>
        <w:gridCol w:w="1463"/>
        <w:gridCol w:w="3006"/>
        <w:gridCol w:w="1994"/>
        <w:gridCol w:w="2553"/>
      </w:tblGrid>
      <w:tr w:rsidR="001A3F7B" w14:paraId="59249D90" w14:textId="77777777" w:rsidTr="00FF4F3E">
        <w:tc>
          <w:tcPr>
            <w:tcW w:w="0" w:type="auto"/>
            <w:shd w:val="clear" w:color="auto" w:fill="000000" w:themeFill="text1"/>
          </w:tcPr>
          <w:p w14:paraId="3E42A78D" w14:textId="4647E8A5" w:rsidR="001A3F7B" w:rsidRDefault="001A3F7B" w:rsidP="001A3F7B">
            <w:pPr>
              <w:pStyle w:val="Tableheader"/>
            </w:pPr>
            <w:r>
              <w:t>Jurisdiction</w:t>
            </w:r>
          </w:p>
        </w:tc>
        <w:tc>
          <w:tcPr>
            <w:tcW w:w="0" w:type="auto"/>
            <w:shd w:val="clear" w:color="auto" w:fill="000000" w:themeFill="text1"/>
          </w:tcPr>
          <w:p w14:paraId="1E22A76A" w14:textId="41C5CC36" w:rsidR="001A3F7B" w:rsidRDefault="001A3F7B" w:rsidP="001A3F7B">
            <w:pPr>
              <w:pStyle w:val="Tableheader"/>
            </w:pPr>
            <w:r>
              <w:t>Legislation title</w:t>
            </w:r>
          </w:p>
        </w:tc>
        <w:tc>
          <w:tcPr>
            <w:tcW w:w="0" w:type="auto"/>
            <w:shd w:val="clear" w:color="auto" w:fill="000000" w:themeFill="text1"/>
          </w:tcPr>
          <w:p w14:paraId="327D4328" w14:textId="4985FB06" w:rsidR="001A3F7B" w:rsidRDefault="001A3F7B" w:rsidP="001A3F7B">
            <w:pPr>
              <w:pStyle w:val="Tableheader"/>
            </w:pPr>
            <w:r>
              <w:t>Commencement</w:t>
            </w:r>
          </w:p>
        </w:tc>
        <w:tc>
          <w:tcPr>
            <w:tcW w:w="0" w:type="auto"/>
            <w:shd w:val="clear" w:color="auto" w:fill="000000" w:themeFill="text1"/>
          </w:tcPr>
          <w:p w14:paraId="0A863179" w14:textId="3595DA65" w:rsidR="001A3F7B" w:rsidRDefault="001A3F7B" w:rsidP="001A3F7B">
            <w:pPr>
              <w:pStyle w:val="Tableheader"/>
            </w:pPr>
            <w:r>
              <w:t>Sunset</w:t>
            </w:r>
          </w:p>
        </w:tc>
      </w:tr>
      <w:tr w:rsidR="001A3F7B" w14:paraId="000ADD00" w14:textId="77777777" w:rsidTr="00FF4F3E">
        <w:tc>
          <w:tcPr>
            <w:tcW w:w="0" w:type="auto"/>
          </w:tcPr>
          <w:p w14:paraId="6CBD7666" w14:textId="732A13D1" w:rsidR="001A3F7B" w:rsidRDefault="001A3F7B" w:rsidP="001A3F7B">
            <w:r>
              <w:t>ACT</w:t>
            </w:r>
          </w:p>
        </w:tc>
        <w:tc>
          <w:tcPr>
            <w:tcW w:w="0" w:type="auto"/>
          </w:tcPr>
          <w:p w14:paraId="3B742622" w14:textId="66F81BFD" w:rsidR="001A3F7B" w:rsidRPr="00E403A7" w:rsidRDefault="00E328A0" w:rsidP="001A3F7B">
            <w:pPr>
              <w:rPr>
                <w:i/>
                <w:iCs/>
              </w:rPr>
            </w:pPr>
            <w:r w:rsidRPr="00E403A7">
              <w:rPr>
                <w:i/>
                <w:iCs/>
              </w:rPr>
              <w:t>Gene Technology (GM Crop Moratorium) Act 2004</w:t>
            </w:r>
          </w:p>
        </w:tc>
        <w:tc>
          <w:tcPr>
            <w:tcW w:w="0" w:type="auto"/>
          </w:tcPr>
          <w:p w14:paraId="71E7C296" w14:textId="59BDA969" w:rsidR="001A3F7B" w:rsidRDefault="003D3F9F" w:rsidP="001A3F7B">
            <w:r>
              <w:t>10 July 2004</w:t>
            </w:r>
          </w:p>
        </w:tc>
        <w:tc>
          <w:tcPr>
            <w:tcW w:w="0" w:type="auto"/>
          </w:tcPr>
          <w:p w14:paraId="6320E555" w14:textId="4BFC371E" w:rsidR="001A3F7B" w:rsidRDefault="00FF4F3E" w:rsidP="001A3F7B">
            <w:r w:rsidRPr="00FF4F3E">
              <w:t>By regulation, no earlier than 17 June 2006</w:t>
            </w:r>
          </w:p>
        </w:tc>
      </w:tr>
      <w:tr w:rsidR="001A3F7B" w14:paraId="00937BE2" w14:textId="77777777" w:rsidTr="00FF4F3E">
        <w:tc>
          <w:tcPr>
            <w:tcW w:w="0" w:type="auto"/>
          </w:tcPr>
          <w:p w14:paraId="3BCD0ACA" w14:textId="6EA60675" w:rsidR="001A3F7B" w:rsidRDefault="001A3F7B" w:rsidP="001A3F7B">
            <w:r>
              <w:t>NSW</w:t>
            </w:r>
          </w:p>
        </w:tc>
        <w:tc>
          <w:tcPr>
            <w:tcW w:w="0" w:type="auto"/>
          </w:tcPr>
          <w:p w14:paraId="4423AD4B" w14:textId="32741B00" w:rsidR="001A3F7B" w:rsidRPr="00E403A7" w:rsidRDefault="00E328A0" w:rsidP="00E403A7">
            <w:pPr>
              <w:rPr>
                <w:i/>
                <w:iCs/>
              </w:rPr>
            </w:pPr>
            <w:r w:rsidRPr="00E403A7">
              <w:rPr>
                <w:i/>
                <w:iCs/>
              </w:rPr>
              <w:t>Gene Technology (GM Crop Moratorium) Act 2003</w:t>
            </w:r>
          </w:p>
        </w:tc>
        <w:tc>
          <w:tcPr>
            <w:tcW w:w="0" w:type="auto"/>
          </w:tcPr>
          <w:p w14:paraId="27BBE96B" w14:textId="18305F41" w:rsidR="001A3F7B" w:rsidRDefault="003D3F9F" w:rsidP="001A3F7B">
            <w:r>
              <w:t>25 June 2003</w:t>
            </w:r>
          </w:p>
        </w:tc>
        <w:tc>
          <w:tcPr>
            <w:tcW w:w="0" w:type="auto"/>
          </w:tcPr>
          <w:p w14:paraId="6EF6792C" w14:textId="1B565FC8" w:rsidR="001A3F7B" w:rsidRDefault="00FF4F3E" w:rsidP="001A3F7B">
            <w:r w:rsidRPr="00FF4F3E">
              <w:t>March 2008</w:t>
            </w:r>
          </w:p>
        </w:tc>
      </w:tr>
      <w:tr w:rsidR="001A3F7B" w14:paraId="333B5914" w14:textId="77777777" w:rsidTr="00FF4F3E">
        <w:tc>
          <w:tcPr>
            <w:tcW w:w="0" w:type="auto"/>
          </w:tcPr>
          <w:p w14:paraId="350439FC" w14:textId="661BFED5" w:rsidR="001A3F7B" w:rsidRDefault="001A3F7B" w:rsidP="001A3F7B">
            <w:r>
              <w:t>WA</w:t>
            </w:r>
          </w:p>
        </w:tc>
        <w:tc>
          <w:tcPr>
            <w:tcW w:w="0" w:type="auto"/>
          </w:tcPr>
          <w:p w14:paraId="7E314AD1" w14:textId="394823D8" w:rsidR="001A3F7B" w:rsidRPr="00E403A7" w:rsidRDefault="00E328A0" w:rsidP="001A3F7B">
            <w:pPr>
              <w:rPr>
                <w:i/>
                <w:iCs/>
              </w:rPr>
            </w:pPr>
            <w:r w:rsidRPr="00E403A7">
              <w:rPr>
                <w:i/>
                <w:iCs/>
              </w:rPr>
              <w:t>Genetically Modiﬁed Crops Free Areas Act 2003</w:t>
            </w:r>
          </w:p>
        </w:tc>
        <w:tc>
          <w:tcPr>
            <w:tcW w:w="0" w:type="auto"/>
          </w:tcPr>
          <w:p w14:paraId="44102A33" w14:textId="75F886EF" w:rsidR="001A3F7B" w:rsidRDefault="003D3F9F" w:rsidP="001A3F7B">
            <w:r>
              <w:t>21 December 2003</w:t>
            </w:r>
          </w:p>
        </w:tc>
        <w:tc>
          <w:tcPr>
            <w:tcW w:w="0" w:type="auto"/>
          </w:tcPr>
          <w:p w14:paraId="3B2FC8E9" w14:textId="163B6E75" w:rsidR="001A3F7B" w:rsidRDefault="00FF4F3E" w:rsidP="001A3F7B">
            <w:r>
              <w:t>2008</w:t>
            </w:r>
          </w:p>
        </w:tc>
      </w:tr>
      <w:tr w:rsidR="001A3F7B" w14:paraId="67DCC308" w14:textId="77777777" w:rsidTr="00FF4F3E">
        <w:tc>
          <w:tcPr>
            <w:tcW w:w="0" w:type="auto"/>
          </w:tcPr>
          <w:p w14:paraId="06D52438" w14:textId="1DDB8676" w:rsidR="001A3F7B" w:rsidRDefault="001A3F7B" w:rsidP="001A3F7B">
            <w:r>
              <w:t>SA</w:t>
            </w:r>
          </w:p>
        </w:tc>
        <w:tc>
          <w:tcPr>
            <w:tcW w:w="0" w:type="auto"/>
          </w:tcPr>
          <w:p w14:paraId="39DB248D" w14:textId="5F36181E" w:rsidR="001A3F7B" w:rsidRPr="00E403A7" w:rsidRDefault="00E328A0" w:rsidP="001A3F7B">
            <w:pPr>
              <w:rPr>
                <w:i/>
                <w:iCs/>
              </w:rPr>
            </w:pPr>
            <w:r w:rsidRPr="00E403A7">
              <w:rPr>
                <w:i/>
                <w:iCs/>
              </w:rPr>
              <w:t>Genetically Modiﬁed Crops Management Act 2004</w:t>
            </w:r>
          </w:p>
        </w:tc>
        <w:tc>
          <w:tcPr>
            <w:tcW w:w="0" w:type="auto"/>
          </w:tcPr>
          <w:p w14:paraId="27161582" w14:textId="5E5C2C8F" w:rsidR="001A3F7B" w:rsidRDefault="003D3F9F" w:rsidP="001A3F7B">
            <w:r>
              <w:t>29 April 2004</w:t>
            </w:r>
          </w:p>
        </w:tc>
        <w:tc>
          <w:tcPr>
            <w:tcW w:w="0" w:type="auto"/>
          </w:tcPr>
          <w:p w14:paraId="1543DF5E" w14:textId="4EA46D43" w:rsidR="001A3F7B" w:rsidRDefault="00FF4F3E" w:rsidP="001A3F7B">
            <w:r>
              <w:t>2007</w:t>
            </w:r>
          </w:p>
        </w:tc>
      </w:tr>
      <w:tr w:rsidR="001A3F7B" w14:paraId="2CA9711B" w14:textId="77777777" w:rsidTr="00FF4F3E">
        <w:tc>
          <w:tcPr>
            <w:tcW w:w="0" w:type="auto"/>
          </w:tcPr>
          <w:p w14:paraId="1B32F85A" w14:textId="5EBE4FE2" w:rsidR="001A3F7B" w:rsidRDefault="001A3F7B" w:rsidP="001A3F7B">
            <w:r>
              <w:t>Tasmania</w:t>
            </w:r>
          </w:p>
        </w:tc>
        <w:tc>
          <w:tcPr>
            <w:tcW w:w="0" w:type="auto"/>
          </w:tcPr>
          <w:p w14:paraId="0D6E647F" w14:textId="174578C0" w:rsidR="001A3F7B" w:rsidRPr="00E403A7" w:rsidRDefault="00E328A0" w:rsidP="001A3F7B">
            <w:pPr>
              <w:rPr>
                <w:i/>
                <w:iCs/>
              </w:rPr>
            </w:pPr>
            <w:r w:rsidRPr="00E403A7">
              <w:rPr>
                <w:i/>
                <w:iCs/>
              </w:rPr>
              <w:t>Genetically Modiﬁed Organisms Control Act 2004</w:t>
            </w:r>
          </w:p>
        </w:tc>
        <w:tc>
          <w:tcPr>
            <w:tcW w:w="0" w:type="auto"/>
          </w:tcPr>
          <w:p w14:paraId="5F1220C5" w14:textId="56EC8FDD" w:rsidR="001A3F7B" w:rsidRDefault="003D3F9F" w:rsidP="001A3F7B">
            <w:r>
              <w:t>16 November 2004</w:t>
            </w:r>
          </w:p>
        </w:tc>
        <w:tc>
          <w:tcPr>
            <w:tcW w:w="0" w:type="auto"/>
          </w:tcPr>
          <w:p w14:paraId="55800E17" w14:textId="68B45CAF" w:rsidR="001A3F7B" w:rsidRDefault="00FF4F3E" w:rsidP="001A3F7B">
            <w:r>
              <w:t>2008</w:t>
            </w:r>
          </w:p>
        </w:tc>
      </w:tr>
      <w:tr w:rsidR="001A3F7B" w14:paraId="51C297AD" w14:textId="77777777" w:rsidTr="00FF4F3E">
        <w:tc>
          <w:tcPr>
            <w:tcW w:w="0" w:type="auto"/>
          </w:tcPr>
          <w:p w14:paraId="7B64F019" w14:textId="2EBE922E" w:rsidR="001A3F7B" w:rsidRDefault="001A3F7B" w:rsidP="001A3F7B">
            <w:r>
              <w:t>Victoria</w:t>
            </w:r>
          </w:p>
        </w:tc>
        <w:tc>
          <w:tcPr>
            <w:tcW w:w="0" w:type="auto"/>
          </w:tcPr>
          <w:p w14:paraId="6A5BE05F" w14:textId="2B3C8B18" w:rsidR="001A3F7B" w:rsidRPr="00E403A7" w:rsidRDefault="00E403A7" w:rsidP="001A3F7B">
            <w:pPr>
              <w:rPr>
                <w:i/>
                <w:iCs/>
              </w:rPr>
            </w:pPr>
            <w:r w:rsidRPr="00E403A7">
              <w:rPr>
                <w:i/>
                <w:iCs/>
              </w:rPr>
              <w:t>Control of Genetically Modiﬁed Crops Act 2004</w:t>
            </w:r>
          </w:p>
        </w:tc>
        <w:tc>
          <w:tcPr>
            <w:tcW w:w="0" w:type="auto"/>
          </w:tcPr>
          <w:p w14:paraId="61BB8EED" w14:textId="0281FC7F" w:rsidR="001A3F7B" w:rsidRDefault="003D3F9F" w:rsidP="001A3F7B">
            <w:r>
              <w:t>12 May 2004</w:t>
            </w:r>
          </w:p>
        </w:tc>
        <w:tc>
          <w:tcPr>
            <w:tcW w:w="0" w:type="auto"/>
          </w:tcPr>
          <w:p w14:paraId="736701F2" w14:textId="025CF07E" w:rsidR="001A3F7B" w:rsidRDefault="00FF4F3E" w:rsidP="001A3F7B">
            <w:r>
              <w:t>2008</w:t>
            </w:r>
          </w:p>
        </w:tc>
      </w:tr>
    </w:tbl>
    <w:p w14:paraId="5B4AC4EC" w14:textId="77777777" w:rsidR="00706F12" w:rsidRPr="00FF4F3E" w:rsidRDefault="00706F12" w:rsidP="00FF4F3E">
      <w:r w:rsidRPr="00FF4F3E">
        <w:t>The moratoria differ significantly between jurisdictions. Some prohibit the commercial production of all GM crops, not just GM food crops, and one jurisdiction prohibits any dealings with GMOs except under a permit. However, some moratoria include provisions for limited and controlled trials of declared GM food crops for research purposes. Non-food GM crops, such as GM cotton, are largely unaffected by</w:t>
      </w:r>
      <w:r w:rsidR="003C086F" w:rsidRPr="00FF4F3E">
        <w:t xml:space="preserve"> </w:t>
      </w:r>
      <w:r w:rsidRPr="00FF4F3E">
        <w:t>the moratoria. GM cotton is grown in Queensland and New South Wales.</w:t>
      </w:r>
    </w:p>
    <w:p w14:paraId="414F8B88" w14:textId="48C72C5F" w:rsidR="00706F12" w:rsidRPr="00FF4F3E" w:rsidRDefault="00706F12" w:rsidP="00FF4F3E">
      <w:r w:rsidRPr="00FF4F3E">
        <w:t>Industry, farmers that support the choice to grow GM crops and research</w:t>
      </w:r>
      <w:r w:rsidR="003C086F" w:rsidRPr="00FF4F3E">
        <w:t xml:space="preserve"> </w:t>
      </w:r>
      <w:r w:rsidRPr="00FF4F3E">
        <w:t>organisations were critical of the moratoria, which they viewed as:</w:t>
      </w:r>
    </w:p>
    <w:p w14:paraId="23A8A9B0" w14:textId="77777777" w:rsidR="00706F12" w:rsidRPr="00FF4F3E" w:rsidRDefault="00706F12" w:rsidP="009F018E">
      <w:pPr>
        <w:pStyle w:val="ListParagraph"/>
        <w:numPr>
          <w:ilvl w:val="0"/>
          <w:numId w:val="27"/>
        </w:numPr>
      </w:pPr>
      <w:r w:rsidRPr="00FF4F3E">
        <w:t>halting the path to market for GM food crops, which have been approved</w:t>
      </w:r>
      <w:r w:rsidR="003C086F" w:rsidRPr="00FF4F3E">
        <w:t xml:space="preserve"> </w:t>
      </w:r>
      <w:r w:rsidRPr="00FF4F3E">
        <w:t xml:space="preserve">through the OGTR process, by imposing a prohibition on commercial </w:t>
      </w:r>
      <w:proofErr w:type="gramStart"/>
      <w:r w:rsidRPr="00FF4F3E">
        <w:t>release;</w:t>
      </w:r>
      <w:proofErr w:type="gramEnd"/>
    </w:p>
    <w:p w14:paraId="18829124" w14:textId="77777777" w:rsidR="00706F12" w:rsidRPr="00FF4F3E" w:rsidRDefault="00706F12" w:rsidP="009F018E">
      <w:pPr>
        <w:pStyle w:val="ListParagraph"/>
        <w:numPr>
          <w:ilvl w:val="0"/>
          <w:numId w:val="27"/>
        </w:numPr>
      </w:pPr>
      <w:r w:rsidRPr="00FF4F3E">
        <w:t>creating regulatory uncertainty, as under the moratoria legislation there is lack</w:t>
      </w:r>
      <w:r w:rsidR="003C086F" w:rsidRPr="00FF4F3E">
        <w:t xml:space="preserve"> </w:t>
      </w:r>
      <w:r w:rsidRPr="00FF4F3E">
        <w:t>of transparency in the process (including the criteria that would allow the</w:t>
      </w:r>
      <w:r w:rsidR="003C086F" w:rsidRPr="00FF4F3E">
        <w:t xml:space="preserve"> </w:t>
      </w:r>
      <w:r w:rsidRPr="00FF4F3E">
        <w:t>approval of commercial releases</w:t>
      </w:r>
      <w:proofErr w:type="gramStart"/>
      <w:r w:rsidRPr="00FF4F3E">
        <w:t>);</w:t>
      </w:r>
      <w:proofErr w:type="gramEnd"/>
    </w:p>
    <w:p w14:paraId="6406E180" w14:textId="77777777" w:rsidR="00706F12" w:rsidRPr="00FF4F3E" w:rsidRDefault="00706F12" w:rsidP="009F018E">
      <w:pPr>
        <w:pStyle w:val="ListParagraph"/>
        <w:numPr>
          <w:ilvl w:val="0"/>
          <w:numId w:val="27"/>
        </w:numPr>
      </w:pPr>
      <w:r w:rsidRPr="00FF4F3E">
        <w:t xml:space="preserve">stopping further investment in food crop </w:t>
      </w:r>
      <w:proofErr w:type="gramStart"/>
      <w:r w:rsidRPr="00FF4F3E">
        <w:t>GMOs;</w:t>
      </w:r>
      <w:proofErr w:type="gramEnd"/>
    </w:p>
    <w:p w14:paraId="7705DA04" w14:textId="77777777" w:rsidR="00706F12" w:rsidRPr="00FF4F3E" w:rsidRDefault="00706F12" w:rsidP="009F018E">
      <w:pPr>
        <w:pStyle w:val="ListParagraph"/>
        <w:numPr>
          <w:ilvl w:val="0"/>
          <w:numId w:val="27"/>
        </w:numPr>
      </w:pPr>
      <w:r w:rsidRPr="00FF4F3E">
        <w:t>undermining the Regulator’s science-based decision in relation to health and</w:t>
      </w:r>
      <w:r w:rsidR="003C086F" w:rsidRPr="00FF4F3E">
        <w:t xml:space="preserve"> </w:t>
      </w:r>
      <w:r w:rsidRPr="00FF4F3E">
        <w:t xml:space="preserve">safety and the </w:t>
      </w:r>
      <w:proofErr w:type="gramStart"/>
      <w:r w:rsidRPr="00FF4F3E">
        <w:t>environment;</w:t>
      </w:r>
      <w:proofErr w:type="gramEnd"/>
    </w:p>
    <w:p w14:paraId="3689C896" w14:textId="77777777" w:rsidR="00706F12" w:rsidRPr="00FF4F3E" w:rsidRDefault="00706F12" w:rsidP="009F018E">
      <w:pPr>
        <w:pStyle w:val="ListParagraph"/>
        <w:numPr>
          <w:ilvl w:val="0"/>
          <w:numId w:val="27"/>
        </w:numPr>
      </w:pPr>
      <w:r w:rsidRPr="00FF4F3E">
        <w:t xml:space="preserve">denying Australian </w:t>
      </w:r>
      <w:proofErr w:type="gramStart"/>
      <w:r w:rsidRPr="00FF4F3E">
        <w:t>farmers</w:t>
      </w:r>
      <w:proofErr w:type="gramEnd"/>
      <w:r w:rsidRPr="00FF4F3E">
        <w:t xml:space="preserve"> the ability to grow GM food crops, leaving them at</w:t>
      </w:r>
      <w:r w:rsidR="003C086F" w:rsidRPr="00FF4F3E">
        <w:t xml:space="preserve"> </w:t>
      </w:r>
      <w:r w:rsidRPr="00FF4F3E">
        <w:t>a disadvantage in a competitive global marketplace;</w:t>
      </w:r>
    </w:p>
    <w:p w14:paraId="5EE0E327" w14:textId="77777777" w:rsidR="00706F12" w:rsidRPr="00FF4F3E" w:rsidRDefault="00706F12" w:rsidP="009F018E">
      <w:pPr>
        <w:pStyle w:val="ListParagraph"/>
        <w:numPr>
          <w:ilvl w:val="0"/>
          <w:numId w:val="27"/>
        </w:numPr>
      </w:pPr>
      <w:r w:rsidRPr="00FF4F3E">
        <w:t>resulting in an inability to respond to rapid changes in the market; and</w:t>
      </w:r>
    </w:p>
    <w:p w14:paraId="74774600" w14:textId="1BFE07A3" w:rsidR="003C086F" w:rsidRPr="00FF4F3E" w:rsidRDefault="003C086F" w:rsidP="009F018E">
      <w:pPr>
        <w:pStyle w:val="ListParagraph"/>
        <w:numPr>
          <w:ilvl w:val="0"/>
          <w:numId w:val="27"/>
        </w:numPr>
      </w:pPr>
      <w:r w:rsidRPr="00FF4F3E">
        <w:t>diminishing confi</w:t>
      </w:r>
      <w:r w:rsidR="00706F12" w:rsidRPr="00FF4F3E">
        <w:t>dence in the nation’s ability to capture the benef</w:t>
      </w:r>
      <w:r w:rsidRPr="00FF4F3E">
        <w:t>i</w:t>
      </w:r>
      <w:r w:rsidR="00706F12" w:rsidRPr="00FF4F3E">
        <w:t>ts of</w:t>
      </w:r>
      <w:r w:rsidRPr="00FF4F3E">
        <w:t xml:space="preserve"> </w:t>
      </w:r>
      <w:r w:rsidR="00706F12" w:rsidRPr="00FF4F3E">
        <w:t>biotechnology, as outlined in the National Biotechnology Strategy.</w:t>
      </w:r>
    </w:p>
    <w:p w14:paraId="1590B6FC" w14:textId="3454D73E" w:rsidR="00706F12" w:rsidRPr="00FF4F3E" w:rsidRDefault="00706F12" w:rsidP="00AF5BFF">
      <w:pPr>
        <w:pStyle w:val="Heading3"/>
      </w:pPr>
      <w:r w:rsidRPr="00FF4F3E">
        <w:t>The path to commercialisation for GM crops</w:t>
      </w:r>
    </w:p>
    <w:p w14:paraId="6BC89505" w14:textId="77777777" w:rsidR="00706F12" w:rsidRDefault="00706F12" w:rsidP="00FF4F3E">
      <w:r w:rsidRPr="00706F12">
        <w:t xml:space="preserve">The Review heard that even though the </w:t>
      </w:r>
      <w:r w:rsidRPr="00FF4F3E">
        <w:t>Regulator</w:t>
      </w:r>
      <w:r w:rsidRPr="00706F12">
        <w:t xml:space="preserve"> had approved two types of GM</w:t>
      </w:r>
      <w:r w:rsidR="003C086F">
        <w:t xml:space="preserve"> </w:t>
      </w:r>
      <w:r w:rsidRPr="00706F12">
        <w:t>canola for commercial release in 2003, it would have been around 2006–2007 before</w:t>
      </w:r>
      <w:r w:rsidR="003C086F">
        <w:t xml:space="preserve"> </w:t>
      </w:r>
      <w:r w:rsidRPr="00706F12">
        <w:t xml:space="preserve">they were grown </w:t>
      </w:r>
      <w:r w:rsidRPr="00706F12">
        <w:lastRenderedPageBreak/>
        <w:t>on a commercial scale and not until 2008–2009 before GM canola</w:t>
      </w:r>
      <w:r w:rsidR="003C086F">
        <w:t xml:space="preserve"> </w:t>
      </w:r>
      <w:r w:rsidRPr="00706F12">
        <w:t>represented more than 10–15% of total canola area planted.</w:t>
      </w:r>
    </w:p>
    <w:p w14:paraId="59D0FCBC" w14:textId="77777777" w:rsidR="00706F12" w:rsidRPr="00FF4F3E" w:rsidRDefault="00706F12" w:rsidP="00FF4F3E">
      <w:r w:rsidRPr="00FF4F3E">
        <w:t>The lead-in time was necessary to conduct a breeding program to include the GM</w:t>
      </w:r>
      <w:r w:rsidR="003C086F" w:rsidRPr="00FF4F3E">
        <w:t xml:space="preserve"> </w:t>
      </w:r>
      <w:r w:rsidRPr="00FF4F3E">
        <w:t>traits in ‘elite’ varieties of canola and to implement demonstration trials for farmers.</w:t>
      </w:r>
    </w:p>
    <w:p w14:paraId="63583660" w14:textId="042AE6CA" w:rsidR="00706F12" w:rsidRPr="00FF4F3E" w:rsidRDefault="00706F12" w:rsidP="00FF4F3E">
      <w:r w:rsidRPr="00FF4F3E">
        <w:t>The purpose of the trials would be to demonstrate:</w:t>
      </w:r>
    </w:p>
    <w:p w14:paraId="4A2AF3F7" w14:textId="77777777" w:rsidR="00706F12" w:rsidRPr="00FF4F3E" w:rsidRDefault="00706F12" w:rsidP="009F018E">
      <w:pPr>
        <w:pStyle w:val="ListParagraph"/>
        <w:numPr>
          <w:ilvl w:val="0"/>
          <w:numId w:val="28"/>
        </w:numPr>
      </w:pPr>
      <w:r w:rsidRPr="00FF4F3E">
        <w:t xml:space="preserve">weed control and farming system benefits of the GM herbicide tolerant </w:t>
      </w:r>
      <w:proofErr w:type="spellStart"/>
      <w:r w:rsidRPr="00FF4F3E">
        <w:t>canolas</w:t>
      </w:r>
      <w:proofErr w:type="spellEnd"/>
      <w:r w:rsidR="003C086F" w:rsidRPr="00FF4F3E">
        <w:t xml:space="preserve"> </w:t>
      </w:r>
      <w:r w:rsidRPr="00FF4F3E">
        <w:t>compared to conventional canola production systems, including conventional</w:t>
      </w:r>
      <w:r w:rsidR="003C086F" w:rsidRPr="00FF4F3E">
        <w:t xml:space="preserve"> </w:t>
      </w:r>
      <w:r w:rsidRPr="00FF4F3E">
        <w:t xml:space="preserve">herbicide tolerant </w:t>
      </w:r>
      <w:proofErr w:type="gramStart"/>
      <w:r w:rsidRPr="00FF4F3E">
        <w:t>canola;</w:t>
      </w:r>
      <w:proofErr w:type="gramEnd"/>
    </w:p>
    <w:p w14:paraId="6CDE2491" w14:textId="77777777" w:rsidR="00706F12" w:rsidRPr="00FF4F3E" w:rsidRDefault="00706F12" w:rsidP="009F018E">
      <w:pPr>
        <w:pStyle w:val="ListParagraph"/>
        <w:numPr>
          <w:ilvl w:val="0"/>
          <w:numId w:val="28"/>
        </w:numPr>
      </w:pPr>
      <w:r w:rsidRPr="00FF4F3E">
        <w:t xml:space="preserve">GM canola variety performance versus conventional canola </w:t>
      </w:r>
      <w:proofErr w:type="gramStart"/>
      <w:r w:rsidRPr="00FF4F3E">
        <w:t>varieties;</w:t>
      </w:r>
      <w:proofErr w:type="gramEnd"/>
    </w:p>
    <w:p w14:paraId="212DC6B7" w14:textId="77777777" w:rsidR="00706F12" w:rsidRPr="00FF4F3E" w:rsidRDefault="00706F12" w:rsidP="009F018E">
      <w:pPr>
        <w:pStyle w:val="ListParagraph"/>
        <w:numPr>
          <w:ilvl w:val="0"/>
          <w:numId w:val="28"/>
        </w:numPr>
      </w:pPr>
      <w:r w:rsidRPr="00FF4F3E">
        <w:t>mandatory herbicide resistance management strategies for adoption with GM</w:t>
      </w:r>
      <w:r w:rsidR="003C086F" w:rsidRPr="00FF4F3E">
        <w:t xml:space="preserve"> </w:t>
      </w:r>
      <w:r w:rsidRPr="00FF4F3E">
        <w:t xml:space="preserve">herbicide tolerant </w:t>
      </w:r>
      <w:proofErr w:type="gramStart"/>
      <w:r w:rsidRPr="00FF4F3E">
        <w:t>canola;</w:t>
      </w:r>
      <w:proofErr w:type="gramEnd"/>
    </w:p>
    <w:p w14:paraId="742D0DA7" w14:textId="77777777" w:rsidR="003C086F" w:rsidRPr="00FF4F3E" w:rsidRDefault="003C086F" w:rsidP="009F018E">
      <w:pPr>
        <w:pStyle w:val="ListParagraph"/>
        <w:numPr>
          <w:ilvl w:val="0"/>
          <w:numId w:val="28"/>
        </w:numPr>
      </w:pPr>
      <w:r w:rsidRPr="00FF4F3E">
        <w:t>recommended management strategies for the co-existence of GM and conventional canola production systems.</w:t>
      </w:r>
    </w:p>
    <w:p w14:paraId="4A33BBD3" w14:textId="77777777" w:rsidR="003C086F" w:rsidRPr="00FF4F3E" w:rsidRDefault="003C086F" w:rsidP="00FF4F3E">
      <w:r w:rsidRPr="00FF4F3E">
        <w:t>Thus, if the moratoria are lifted in 2008, it will be 2009–2010 before farmers have initial access to the GM canola herbicide tolerant technology.</w:t>
      </w:r>
    </w:p>
    <w:p w14:paraId="0CE69CE6" w14:textId="77777777" w:rsidR="003C086F" w:rsidRPr="00FF4F3E" w:rsidRDefault="003C086F" w:rsidP="00FF4F3E">
      <w:r w:rsidRPr="00FF4F3E">
        <w:t>The Review heard from the industry that they would not invest in variety trials even if</w:t>
      </w:r>
      <w:r w:rsidR="008F3FAE" w:rsidRPr="00FF4F3E">
        <w:t xml:space="preserve"> </w:t>
      </w:r>
      <w:r w:rsidRPr="00FF4F3E">
        <w:t xml:space="preserve">they obtained relevant approval under the moratoria legislation, </w:t>
      </w:r>
      <w:proofErr w:type="gramStart"/>
      <w:r w:rsidRPr="00FF4F3E">
        <w:t>as long as</w:t>
      </w:r>
      <w:proofErr w:type="gramEnd"/>
      <w:r w:rsidRPr="00FF4F3E">
        <w:t xml:space="preserve"> there is no</w:t>
      </w:r>
      <w:r w:rsidR="008F3FAE" w:rsidRPr="00FF4F3E">
        <w:t xml:space="preserve"> </w:t>
      </w:r>
      <w:r w:rsidRPr="00FF4F3E">
        <w:t>certainty of a regulatory pathway to commercial approval under the moratoria.</w:t>
      </w:r>
    </w:p>
    <w:p w14:paraId="4014737F" w14:textId="77777777" w:rsidR="003C086F" w:rsidRPr="00FF4F3E" w:rsidRDefault="003C086F" w:rsidP="00FF4F3E">
      <w:r w:rsidRPr="00FF4F3E">
        <w:t>The Review heard that North and South American competitors will have the</w:t>
      </w:r>
      <w:r w:rsidR="008F3FAE" w:rsidRPr="00FF4F3E">
        <w:t xml:space="preserve"> </w:t>
      </w:r>
      <w:r w:rsidRPr="00FF4F3E">
        <w:t>advantage of accessing and adopting the technology for over a decade and a half,</w:t>
      </w:r>
      <w:r w:rsidR="008F3FAE" w:rsidRPr="00FF4F3E">
        <w:t xml:space="preserve"> </w:t>
      </w:r>
      <w:r w:rsidRPr="00FF4F3E">
        <w:t>with no indication that their GM canola and soya bean crops have been rejected or</w:t>
      </w:r>
      <w:r w:rsidR="008F3FAE" w:rsidRPr="00FF4F3E">
        <w:t xml:space="preserve"> </w:t>
      </w:r>
      <w:r w:rsidRPr="00FF4F3E">
        <w:t>discriminated against in the marketplace. The North and South American experience</w:t>
      </w:r>
      <w:r w:rsidR="008F3FAE" w:rsidRPr="00FF4F3E">
        <w:t xml:space="preserve"> </w:t>
      </w:r>
      <w:r w:rsidRPr="00FF4F3E">
        <w:t>has demonstrated that there is no apparent production, nor market access advantage</w:t>
      </w:r>
      <w:r w:rsidR="008F3FAE" w:rsidRPr="00FF4F3E">
        <w:t xml:space="preserve"> </w:t>
      </w:r>
      <w:r w:rsidRPr="00FF4F3E">
        <w:t>for conventional canola versus GM canola.</w:t>
      </w:r>
    </w:p>
    <w:p w14:paraId="64706F87" w14:textId="77777777" w:rsidR="003C086F" w:rsidRPr="00FF4F3E" w:rsidRDefault="003C086F" w:rsidP="00FF4F3E">
      <w:r w:rsidRPr="00FF4F3E">
        <w:t>Some farm groups that were opposed to GM canola told the Review that performance</w:t>
      </w:r>
      <w:r w:rsidR="008F3FAE" w:rsidRPr="00FF4F3E">
        <w:t xml:space="preserve"> </w:t>
      </w:r>
      <w:r w:rsidRPr="00FF4F3E">
        <w:t>and variety trials would help address their concerns. These trials would ordinarily</w:t>
      </w:r>
      <w:r w:rsidR="008F3FAE" w:rsidRPr="00FF4F3E">
        <w:t xml:space="preserve"> </w:t>
      </w:r>
      <w:r w:rsidRPr="00FF4F3E">
        <w:t>be part of the process of introducing a new variety but are unlikely to be conducted</w:t>
      </w:r>
      <w:r w:rsidR="008F3FAE" w:rsidRPr="00FF4F3E">
        <w:t xml:space="preserve"> </w:t>
      </w:r>
      <w:r w:rsidRPr="00FF4F3E">
        <w:t>under the constraints of the moratoria.</w:t>
      </w:r>
    </w:p>
    <w:p w14:paraId="12D76790" w14:textId="77777777" w:rsidR="003C086F" w:rsidRPr="00FF4F3E" w:rsidRDefault="003C086F" w:rsidP="00FF4F3E">
      <w:r w:rsidRPr="00FF4F3E">
        <w:t>In contrast, submissions from non-government organisations and from some</w:t>
      </w:r>
      <w:r w:rsidR="008F3FAE" w:rsidRPr="00FF4F3E">
        <w:t xml:space="preserve"> </w:t>
      </w:r>
      <w:r w:rsidRPr="00FF4F3E">
        <w:t>individuals and consumer NGOs were generally supportive of the moratoria. They</w:t>
      </w:r>
      <w:r w:rsidR="008F3FAE" w:rsidRPr="00FF4F3E">
        <w:t xml:space="preserve"> </w:t>
      </w:r>
      <w:r w:rsidRPr="00FF4F3E">
        <w:t xml:space="preserve">maintained that States have a clear right to decide </w:t>
      </w:r>
      <w:proofErr w:type="gramStart"/>
      <w:r w:rsidRPr="00FF4F3E">
        <w:t>whether or not</w:t>
      </w:r>
      <w:proofErr w:type="gramEnd"/>
      <w:r w:rsidRPr="00FF4F3E">
        <w:t xml:space="preserve"> to allow GM crops</w:t>
      </w:r>
      <w:r w:rsidR="008F3FAE" w:rsidRPr="00FF4F3E">
        <w:t xml:space="preserve"> </w:t>
      </w:r>
      <w:r w:rsidRPr="00FF4F3E">
        <w:t>to be grown if there is a threat to agricultural markets.</w:t>
      </w:r>
    </w:p>
    <w:p w14:paraId="3AE8E34F" w14:textId="77777777" w:rsidR="003C086F" w:rsidRPr="00FF4F3E" w:rsidRDefault="003C086F" w:rsidP="00FF4F3E">
      <w:r w:rsidRPr="00FF4F3E">
        <w:t>The Review noted that it was most unusual for States to intervene in the agricultural</w:t>
      </w:r>
      <w:r w:rsidR="008F3FAE" w:rsidRPr="00FF4F3E">
        <w:t xml:space="preserve"> </w:t>
      </w:r>
      <w:r w:rsidRPr="00FF4F3E">
        <w:t>market in this manner and this type of intervention would usually only be taken</w:t>
      </w:r>
      <w:r w:rsidR="008F3FAE" w:rsidRPr="00FF4F3E">
        <w:t xml:space="preserve"> </w:t>
      </w:r>
      <w:r w:rsidRPr="00FF4F3E">
        <w:t>when there is strong and compelling evidence of a market failure. However, after</w:t>
      </w:r>
      <w:r w:rsidR="008F3FAE" w:rsidRPr="00FF4F3E">
        <w:t xml:space="preserve"> </w:t>
      </w:r>
      <w:r w:rsidRPr="00FF4F3E">
        <w:t>examini</w:t>
      </w:r>
      <w:r w:rsidR="008F3FAE" w:rsidRPr="00FF4F3E">
        <w:t xml:space="preserve">ng </w:t>
      </w:r>
      <w:proofErr w:type="gramStart"/>
      <w:r w:rsidR="008F3FAE" w:rsidRPr="00FF4F3E">
        <w:t>a number of</w:t>
      </w:r>
      <w:proofErr w:type="gramEnd"/>
      <w:r w:rsidR="008F3FAE" w:rsidRPr="00FF4F3E">
        <w:t xml:space="preserve"> reports identifi</w:t>
      </w:r>
      <w:r w:rsidRPr="00FF4F3E">
        <w:t>ed during consultations, the Review could</w:t>
      </w:r>
      <w:r w:rsidR="008F3FAE" w:rsidRPr="00FF4F3E">
        <w:t xml:space="preserve"> not fi</w:t>
      </w:r>
      <w:r w:rsidRPr="00FF4F3E">
        <w:t>nd documentary support for a market failure. The Review noted that choice of</w:t>
      </w:r>
      <w:r w:rsidR="008F3FAE" w:rsidRPr="00FF4F3E">
        <w:t xml:space="preserve"> </w:t>
      </w:r>
      <w:r w:rsidRPr="00FF4F3E">
        <w:t>variety was usually left to the farmer who would consider market signals, customer</w:t>
      </w:r>
      <w:r w:rsidR="008F3FAE" w:rsidRPr="00FF4F3E">
        <w:t xml:space="preserve"> </w:t>
      </w:r>
      <w:r w:rsidRPr="00FF4F3E">
        <w:t>preferences, production c</w:t>
      </w:r>
      <w:r w:rsidR="008F3FAE" w:rsidRPr="00FF4F3E">
        <w:t>osts and yield among other infl</w:t>
      </w:r>
      <w:r w:rsidRPr="00FF4F3E">
        <w:t>uences.</w:t>
      </w:r>
    </w:p>
    <w:p w14:paraId="78030A7A" w14:textId="77777777" w:rsidR="003C086F" w:rsidRPr="00FF4F3E" w:rsidRDefault="003C086F" w:rsidP="00FF4F3E">
      <w:r w:rsidRPr="00FF4F3E">
        <w:t>The Review concluded that the moratoria were causing detrimental rather than</w:t>
      </w:r>
      <w:r w:rsidR="008F3FAE" w:rsidRPr="00FF4F3E">
        <w:t xml:space="preserve"> benefi</w:t>
      </w:r>
      <w:r w:rsidRPr="00FF4F3E">
        <w:t>cial impacts and were counterproductive as they were preventing the collection</w:t>
      </w:r>
      <w:r w:rsidR="008F3FAE" w:rsidRPr="00FF4F3E">
        <w:t xml:space="preserve"> </w:t>
      </w:r>
      <w:r w:rsidRPr="00FF4F3E">
        <w:t>of information that would otherwise assist farmers in making a choice on whether to</w:t>
      </w:r>
      <w:r w:rsidR="008F3FAE" w:rsidRPr="00FF4F3E">
        <w:t xml:space="preserve"> </w:t>
      </w:r>
      <w:r w:rsidRPr="00FF4F3E">
        <w:t xml:space="preserve">grow GM crops. The </w:t>
      </w:r>
      <w:r w:rsidRPr="00FF4F3E">
        <w:lastRenderedPageBreak/>
        <w:t>Review also concluded that the moratoria were having negative</w:t>
      </w:r>
      <w:r w:rsidR="008F3FAE" w:rsidRPr="00FF4F3E">
        <w:t xml:space="preserve"> </w:t>
      </w:r>
      <w:r w:rsidRPr="00FF4F3E">
        <w:t>effects on the agricultural and research sectors.</w:t>
      </w:r>
    </w:p>
    <w:p w14:paraId="098B4180" w14:textId="77777777" w:rsidR="008F3FAE" w:rsidRPr="00FF4F3E" w:rsidRDefault="003C086F" w:rsidP="00FF4F3E">
      <w:r w:rsidRPr="00FF4F3E">
        <w:t>The Review recognised that the actions taken by State governments had happened</w:t>
      </w:r>
      <w:r w:rsidR="008F3FAE" w:rsidRPr="00FF4F3E">
        <w:t xml:space="preserve"> </w:t>
      </w:r>
      <w:r w:rsidRPr="00FF4F3E">
        <w:t>at a time of uncertainty in the market and that</w:t>
      </w:r>
      <w:r w:rsidR="008F3FAE" w:rsidRPr="00FF4F3E">
        <w:t xml:space="preserve"> the situation had been signifi</w:t>
      </w:r>
      <w:r w:rsidRPr="00FF4F3E">
        <w:t>cantly</w:t>
      </w:r>
      <w:r w:rsidR="008F3FAE" w:rsidRPr="00FF4F3E">
        <w:t xml:space="preserve"> clarifi</w:t>
      </w:r>
      <w:r w:rsidRPr="00FF4F3E">
        <w:t>ed since 2003. For example, the Primary Industries Ministerial Council has</w:t>
      </w:r>
      <w:r w:rsidR="008F3FAE" w:rsidRPr="00FF4F3E">
        <w:t xml:space="preserve"> adopted thresholds for certain GM </w:t>
      </w:r>
      <w:proofErr w:type="spellStart"/>
      <w:r w:rsidR="008F3FAE" w:rsidRPr="00FF4F3E">
        <w:t>canolas</w:t>
      </w:r>
      <w:proofErr w:type="spellEnd"/>
      <w:r w:rsidR="008F3FAE" w:rsidRPr="00FF4F3E">
        <w:t xml:space="preserve"> that might be present inadvertently in conventional canola. The Review noted that this action was in response to a finding that a non-GM variety of canola known as ‘Grace’ had a </w:t>
      </w:r>
      <w:proofErr w:type="gramStart"/>
      <w:r w:rsidR="008F3FAE" w:rsidRPr="00FF4F3E">
        <w:t>low level</w:t>
      </w:r>
      <w:proofErr w:type="gramEnd"/>
      <w:r w:rsidR="008F3FAE" w:rsidRPr="00FF4F3E">
        <w:t xml:space="preserve"> presence of a GM canola approved by the Regulator and that the development of a threshold had allowed trade of the ‘Grace’ canola to continue.</w:t>
      </w:r>
    </w:p>
    <w:p w14:paraId="7F321AF6" w14:textId="77777777" w:rsidR="008F3FAE" w:rsidRPr="00FF4F3E" w:rsidRDefault="008F3FAE" w:rsidP="00FF4F3E">
      <w:r w:rsidRPr="00FF4F3E">
        <w:t>In addition, Queensland has developed a model framework for co-existence and was willing to sponsor its adoption at the national level (see Appendix 9). The Review also noted that the European Union was encouraging member states to develop co-existence frameworks for conventional, GM crops and organic crops. The European Union market was raised in consultations as a major market for Australian crops and therefore a major influence on deciding whether to grow GM crops.</w:t>
      </w:r>
    </w:p>
    <w:p w14:paraId="2340551A" w14:textId="77777777" w:rsidR="008F3FAE" w:rsidRPr="00FF4F3E" w:rsidRDefault="008F3FAE" w:rsidP="00FF4F3E">
      <w:r w:rsidRPr="00FF4F3E">
        <w:t>The Review concluded that a national framework for co-existence would address the concerns that led to the moratoria being imposed.</w:t>
      </w:r>
    </w:p>
    <w:p w14:paraId="027A9154" w14:textId="77777777" w:rsidR="008F3FAE" w:rsidRPr="00FF4F3E" w:rsidRDefault="008F3FAE" w:rsidP="00FF4F3E">
      <w:r w:rsidRPr="00FF4F3E">
        <w:t>The Review concluded that a nationally consistent transparent approach to market considerations should be adopted.</w:t>
      </w:r>
    </w:p>
    <w:p w14:paraId="4FF79D2D" w14:textId="77777777" w:rsidR="008F3FAE" w:rsidRPr="00FF4F3E" w:rsidRDefault="008F3FAE" w:rsidP="00FF4F3E">
      <w:pPr>
        <w:pStyle w:val="Recommendation"/>
      </w:pPr>
      <w:r w:rsidRPr="00FF4F3E">
        <w:t>Recommendation 9.1: The Review recommends that the Commonwealth and States through the GTMC reconfirm their commitment to a nationally consistent scheme for gene technology including a nationally consistent transparent approach to market considerations as soon as practicable.</w:t>
      </w:r>
    </w:p>
    <w:p w14:paraId="144F2909" w14:textId="77777777" w:rsidR="008F3FAE" w:rsidRPr="00FF4F3E" w:rsidRDefault="008F3FAE" w:rsidP="00FF4F3E">
      <w:pPr>
        <w:pStyle w:val="Recommendation"/>
      </w:pPr>
      <w:r w:rsidRPr="00FF4F3E">
        <w:t>Recommendation 9.2: The Review recommends that the Commonwealth and States work together to develop a national framework for co-existence for non-GM and GM crops to address market considerations.</w:t>
      </w:r>
    </w:p>
    <w:p w14:paraId="07BD2A6E" w14:textId="77777777" w:rsidR="008F3FAE" w:rsidRPr="00FF4F3E" w:rsidRDefault="008F3FAE" w:rsidP="00FF4F3E">
      <w:pPr>
        <w:pStyle w:val="Heading2"/>
      </w:pPr>
      <w:bookmarkStart w:id="75" w:name="_Toc95326309"/>
      <w:r w:rsidRPr="00FF4F3E">
        <w:t>Emergency regulation making</w:t>
      </w:r>
      <w:bookmarkEnd w:id="75"/>
    </w:p>
    <w:p w14:paraId="597F1245" w14:textId="77777777" w:rsidR="008F3FAE" w:rsidRPr="00747CAA" w:rsidRDefault="008F3FAE" w:rsidP="00747CAA">
      <w:r w:rsidRPr="00747CAA">
        <w:t>Part 3 of the IGA describes the functions of the GTMC. The Review noted that under paragraph 16(b) of the IGA the Council is required to ‘approve proposed regulations for the purpose of the Scheme’.</w:t>
      </w:r>
    </w:p>
    <w:p w14:paraId="6635AEAD" w14:textId="77777777" w:rsidR="008F3FAE" w:rsidRPr="00747CAA" w:rsidRDefault="008F3FAE" w:rsidP="00747CAA">
      <w:r w:rsidRPr="00747CAA">
        <w:t>As discussed in chapter 8, the definition of a GMO provides the flexibility to declare by regulation that an organism is, or is not, a GMO. The Review has found that this flexibility will enable the regulatory scheme to keep pace with emerging trends.</w:t>
      </w:r>
    </w:p>
    <w:p w14:paraId="708F9754" w14:textId="77777777" w:rsidR="008F3FAE" w:rsidRPr="00747CAA" w:rsidRDefault="008F3FAE" w:rsidP="00747CAA">
      <w:r w:rsidRPr="00747CAA">
        <w:t>The Review was concerned that the requirement for regulations to be approved by the GTMC could inhibit the expeditious making of regulations to bring under the scope of the Act technologies appearing rapidly under unusual circumstances. It therefore proposed that the IGA be amended to allow the Commonwealth to make regulations for a limited period in emergency situations on the proviso that it notifies GTMC. It is proposed that before the end of the limited period GTMC must agree to the regulations before they are submitted to the Executive Council for renewal. This will enhance the flexibility of the Act to deal with rapidly emerging GMO technology in the future.</w:t>
      </w:r>
    </w:p>
    <w:p w14:paraId="474A6722" w14:textId="77777777" w:rsidR="002278E2" w:rsidRPr="00747CAA" w:rsidRDefault="008F3FAE" w:rsidP="00747CAA">
      <w:pPr>
        <w:pStyle w:val="Recommendation"/>
      </w:pPr>
      <w:r w:rsidRPr="00747CAA">
        <w:t xml:space="preserve">Recommendation 9.3: The Review recommends that the IGA be amended to provide capacity for the Commonwealth to declare a thing to be a GMO by regulation for a </w:t>
      </w:r>
      <w:r w:rsidRPr="00747CAA">
        <w:lastRenderedPageBreak/>
        <w:t xml:space="preserve">limited period in an emergency. This would be </w:t>
      </w:r>
      <w:r w:rsidR="00D5624B" w:rsidRPr="00747CAA">
        <w:t>notifi</w:t>
      </w:r>
      <w:r w:rsidRPr="00747CAA">
        <w:t>ed to GTMC in the first instance. It is recommended that GTMC</w:t>
      </w:r>
      <w:r w:rsidR="00D5624B" w:rsidRPr="00747CAA">
        <w:t xml:space="preserve"> </w:t>
      </w:r>
      <w:r w:rsidRPr="00747CAA">
        <w:t>must agree to the regulations before they are submitted to the Executive</w:t>
      </w:r>
      <w:r w:rsidR="00D5624B" w:rsidRPr="00747CAA">
        <w:t xml:space="preserve"> </w:t>
      </w:r>
      <w:r w:rsidRPr="00747CAA">
        <w:t>Council for renewal.</w:t>
      </w:r>
    </w:p>
    <w:p w14:paraId="0C634F7B" w14:textId="77777777" w:rsidR="002278E2" w:rsidRPr="00747CAA" w:rsidRDefault="002278E2" w:rsidP="00747CAA">
      <w:r w:rsidRPr="00747CAA">
        <w:br w:type="page"/>
      </w:r>
    </w:p>
    <w:p w14:paraId="58ECEA23" w14:textId="77777777" w:rsidR="003C086F" w:rsidRPr="002278E2" w:rsidRDefault="002278E2" w:rsidP="00747CAA">
      <w:pPr>
        <w:pStyle w:val="Heading1"/>
      </w:pPr>
      <w:bookmarkStart w:id="76" w:name="_Toc95326310"/>
      <w:r w:rsidRPr="002278E2">
        <w:lastRenderedPageBreak/>
        <w:t>SELECT BIBLIOGRAPHY</w:t>
      </w:r>
      <w:bookmarkEnd w:id="76"/>
    </w:p>
    <w:p w14:paraId="74C20073" w14:textId="77777777" w:rsidR="002278E2" w:rsidRPr="002278E2" w:rsidRDefault="002278E2" w:rsidP="00747CAA">
      <w:r w:rsidRPr="002278E2">
        <w:t xml:space="preserve">ACIL </w:t>
      </w:r>
      <w:r w:rsidRPr="00747CAA">
        <w:t>Tasman</w:t>
      </w:r>
      <w:r w:rsidRPr="002278E2">
        <w:t>, 2005, Managing Genetically Modified Crops in Australia, Report</w:t>
      </w:r>
      <w:r>
        <w:t xml:space="preserve"> </w:t>
      </w:r>
      <w:r w:rsidRPr="002278E2">
        <w:t xml:space="preserve">commissioned by </w:t>
      </w:r>
      <w:proofErr w:type="spellStart"/>
      <w:r w:rsidRPr="002278E2">
        <w:t>Avcare</w:t>
      </w:r>
      <w:proofErr w:type="spellEnd"/>
      <w:r w:rsidRPr="002278E2">
        <w:t>, Australia.</w:t>
      </w:r>
    </w:p>
    <w:p w14:paraId="54FD637D" w14:textId="77777777" w:rsidR="002278E2" w:rsidRPr="002278E2" w:rsidRDefault="002278E2" w:rsidP="00747CAA">
      <w:r w:rsidRPr="002278E2">
        <w:t xml:space="preserve">Acumen Alliance, 2004, </w:t>
      </w:r>
      <w:r w:rsidRPr="00747CAA">
        <w:rPr>
          <w:i/>
          <w:iCs/>
        </w:rPr>
        <w:t>Office of the Gene Technology Regulator: Examination of the Impact of Introducing Cost Recovery</w:t>
      </w:r>
      <w:r w:rsidRPr="002278E2">
        <w:t>.</w:t>
      </w:r>
    </w:p>
    <w:p w14:paraId="5124547F" w14:textId="77777777" w:rsidR="002278E2" w:rsidRPr="002278E2" w:rsidRDefault="002278E2" w:rsidP="00747CAA">
      <w:r w:rsidRPr="002278E2">
        <w:t xml:space="preserve">Adams, J., 1999, </w:t>
      </w:r>
      <w:r w:rsidRPr="00CA6451">
        <w:rPr>
          <w:i/>
          <w:iCs/>
        </w:rPr>
        <w:t>Risk-Benefit Analysis: Who wants it? Who needs it?</w:t>
      </w:r>
      <w:r w:rsidRPr="002278E2">
        <w:t xml:space="preserve"> Draft for Yale</w:t>
      </w:r>
      <w:r>
        <w:t xml:space="preserve"> </w:t>
      </w:r>
      <w:r w:rsidRPr="002278E2">
        <w:t>CBA Conference.</w:t>
      </w:r>
    </w:p>
    <w:p w14:paraId="66B3C299" w14:textId="77777777" w:rsidR="002278E2" w:rsidRPr="00CA6451" w:rsidRDefault="002278E2" w:rsidP="002278E2">
      <w:pPr>
        <w:autoSpaceDE w:val="0"/>
        <w:autoSpaceDN w:val="0"/>
        <w:adjustRightInd w:val="0"/>
        <w:spacing w:after="0" w:line="240" w:lineRule="auto"/>
        <w:rPr>
          <w:rFonts w:cs="Arial"/>
          <w:color w:val="231F20"/>
          <w:szCs w:val="22"/>
        </w:rPr>
      </w:pPr>
      <w:proofErr w:type="spellStart"/>
      <w:r w:rsidRPr="00CA6451">
        <w:rPr>
          <w:rFonts w:cs="Arial"/>
          <w:color w:val="231F20"/>
          <w:szCs w:val="22"/>
        </w:rPr>
        <w:t>Argy</w:t>
      </w:r>
      <w:proofErr w:type="spellEnd"/>
      <w:r w:rsidRPr="00CA6451">
        <w:rPr>
          <w:rFonts w:cs="Arial"/>
          <w:color w:val="231F20"/>
          <w:szCs w:val="22"/>
        </w:rPr>
        <w:t xml:space="preserve">, S., and Johnson, M., 2003, </w:t>
      </w:r>
      <w:r w:rsidRPr="00CA6451">
        <w:rPr>
          <w:rFonts w:cs="Arial"/>
          <w:i/>
          <w:iCs/>
          <w:color w:val="231F20"/>
          <w:szCs w:val="22"/>
        </w:rPr>
        <w:t xml:space="preserve">Mechanisms for Improving the Quality of Regulations: Australia in an International Context, </w:t>
      </w:r>
      <w:r w:rsidRPr="00CA6451">
        <w:rPr>
          <w:rFonts w:cs="Arial"/>
          <w:color w:val="231F20"/>
          <w:szCs w:val="22"/>
        </w:rPr>
        <w:t>Staff Working Paper, Productivity Commission, Canberra.</w:t>
      </w:r>
    </w:p>
    <w:p w14:paraId="63A0DD3E" w14:textId="77777777" w:rsidR="002278E2" w:rsidRPr="00CA6451" w:rsidRDefault="002278E2" w:rsidP="002278E2">
      <w:pPr>
        <w:autoSpaceDE w:val="0"/>
        <w:autoSpaceDN w:val="0"/>
        <w:adjustRightInd w:val="0"/>
        <w:spacing w:after="0" w:line="240" w:lineRule="auto"/>
        <w:rPr>
          <w:rFonts w:cs="Arial"/>
          <w:color w:val="231F20"/>
          <w:szCs w:val="22"/>
        </w:rPr>
      </w:pPr>
      <w:r w:rsidRPr="00CA6451">
        <w:rPr>
          <w:rFonts w:cs="Arial"/>
          <w:color w:val="231F20"/>
          <w:szCs w:val="22"/>
        </w:rPr>
        <w:t xml:space="preserve">Australian Government, 2000, </w:t>
      </w:r>
      <w:r w:rsidRPr="00CA6451">
        <w:rPr>
          <w:rFonts w:cs="Arial"/>
          <w:i/>
          <w:iCs/>
          <w:color w:val="231F20"/>
          <w:szCs w:val="22"/>
        </w:rPr>
        <w:t>Australian Biotechnology: A National Strategy</w:t>
      </w:r>
      <w:r w:rsidRPr="00CA6451">
        <w:rPr>
          <w:rFonts w:cs="Arial"/>
          <w:color w:val="231F20"/>
          <w:szCs w:val="22"/>
        </w:rPr>
        <w:t>, Commonwealth of Australia, Canberra.</w:t>
      </w:r>
    </w:p>
    <w:p w14:paraId="1C8C8818" w14:textId="77777777" w:rsidR="002278E2" w:rsidRPr="00CA6451" w:rsidRDefault="002278E2" w:rsidP="002278E2">
      <w:pPr>
        <w:autoSpaceDE w:val="0"/>
        <w:autoSpaceDN w:val="0"/>
        <w:adjustRightInd w:val="0"/>
        <w:spacing w:after="0" w:line="240" w:lineRule="auto"/>
        <w:rPr>
          <w:rFonts w:cs="Arial"/>
          <w:color w:val="231F20"/>
          <w:szCs w:val="22"/>
        </w:rPr>
      </w:pPr>
      <w:r w:rsidRPr="00CA6451">
        <w:rPr>
          <w:rFonts w:cs="Arial"/>
          <w:color w:val="231F20"/>
          <w:szCs w:val="22"/>
        </w:rPr>
        <w:t xml:space="preserve">Australian National Audit Office, 2005, </w:t>
      </w:r>
      <w:r w:rsidRPr="00CA6451">
        <w:rPr>
          <w:rFonts w:cs="Arial"/>
          <w:i/>
          <w:iCs/>
          <w:color w:val="231F20"/>
          <w:szCs w:val="22"/>
        </w:rPr>
        <w:t>Regulation by the Office of the Gene Technology Regulator</w:t>
      </w:r>
      <w:r w:rsidRPr="00CA6451">
        <w:rPr>
          <w:rFonts w:cs="Arial"/>
          <w:color w:val="231F20"/>
          <w:szCs w:val="22"/>
        </w:rPr>
        <w:t>, Commonwealth of Australia, Canberra.</w:t>
      </w:r>
    </w:p>
    <w:p w14:paraId="023F8337" w14:textId="77777777" w:rsidR="002278E2" w:rsidRPr="00CA6451" w:rsidRDefault="002278E2" w:rsidP="002278E2">
      <w:pPr>
        <w:autoSpaceDE w:val="0"/>
        <w:autoSpaceDN w:val="0"/>
        <w:adjustRightInd w:val="0"/>
        <w:spacing w:after="0" w:line="240" w:lineRule="auto"/>
        <w:rPr>
          <w:rFonts w:cs="Arial"/>
          <w:color w:val="231F20"/>
          <w:szCs w:val="22"/>
        </w:rPr>
      </w:pPr>
      <w:r w:rsidRPr="00CA6451">
        <w:rPr>
          <w:rFonts w:cs="Arial"/>
          <w:color w:val="231F20"/>
          <w:szCs w:val="22"/>
        </w:rPr>
        <w:t xml:space="preserve">Benbrook, C., 2005, </w:t>
      </w:r>
      <w:r w:rsidRPr="00CA6451">
        <w:rPr>
          <w:rFonts w:cs="Arial"/>
          <w:i/>
          <w:iCs/>
          <w:color w:val="231F20"/>
          <w:szCs w:val="22"/>
        </w:rPr>
        <w:t>GE Crops a Flop in the USA</w:t>
      </w:r>
      <w:r w:rsidRPr="00CA6451">
        <w:rPr>
          <w:rFonts w:cs="Arial"/>
          <w:color w:val="231F20"/>
          <w:szCs w:val="22"/>
        </w:rPr>
        <w:t>, Industry Seminar, Canberra, 29 November.</w:t>
      </w:r>
    </w:p>
    <w:p w14:paraId="6FC49CD1" w14:textId="77777777" w:rsidR="002278E2" w:rsidRPr="00CA6451" w:rsidRDefault="002278E2" w:rsidP="002278E2">
      <w:pPr>
        <w:autoSpaceDE w:val="0"/>
        <w:autoSpaceDN w:val="0"/>
        <w:adjustRightInd w:val="0"/>
        <w:spacing w:after="0" w:line="240" w:lineRule="auto"/>
        <w:rPr>
          <w:rFonts w:cs="Arial"/>
          <w:color w:val="231F20"/>
          <w:szCs w:val="22"/>
        </w:rPr>
      </w:pPr>
      <w:r w:rsidRPr="00CA6451">
        <w:rPr>
          <w:rFonts w:cs="Arial"/>
          <w:color w:val="231F20"/>
          <w:szCs w:val="22"/>
        </w:rPr>
        <w:t xml:space="preserve">Benbrook, C., 2004, </w:t>
      </w:r>
      <w:r w:rsidRPr="00CA6451">
        <w:rPr>
          <w:rFonts w:cs="Arial"/>
          <w:i/>
          <w:iCs/>
          <w:color w:val="231F20"/>
          <w:szCs w:val="22"/>
        </w:rPr>
        <w:t>Genetically Engineered Crops and Pesticide Use in the United States</w:t>
      </w:r>
      <w:r w:rsidRPr="00CA6451">
        <w:rPr>
          <w:rFonts w:cs="Arial"/>
          <w:color w:val="231F20"/>
          <w:szCs w:val="22"/>
        </w:rPr>
        <w:t xml:space="preserve">, Biotech </w:t>
      </w:r>
      <w:proofErr w:type="spellStart"/>
      <w:r w:rsidRPr="00CA6451">
        <w:rPr>
          <w:rFonts w:cs="Arial"/>
          <w:color w:val="231F20"/>
          <w:szCs w:val="22"/>
        </w:rPr>
        <w:t>InfoNet</w:t>
      </w:r>
      <w:proofErr w:type="spellEnd"/>
      <w:r w:rsidRPr="00CA6451">
        <w:rPr>
          <w:rFonts w:cs="Arial"/>
          <w:color w:val="231F20"/>
          <w:szCs w:val="22"/>
        </w:rPr>
        <w:t>, Technical Paper No.7.</w:t>
      </w:r>
    </w:p>
    <w:p w14:paraId="59413C90" w14:textId="77777777" w:rsidR="002278E2" w:rsidRPr="00CA6451" w:rsidRDefault="002278E2" w:rsidP="002278E2">
      <w:pPr>
        <w:autoSpaceDE w:val="0"/>
        <w:autoSpaceDN w:val="0"/>
        <w:adjustRightInd w:val="0"/>
        <w:spacing w:after="0" w:line="240" w:lineRule="auto"/>
        <w:rPr>
          <w:rFonts w:cs="Arial"/>
          <w:color w:val="231F20"/>
          <w:szCs w:val="22"/>
        </w:rPr>
      </w:pPr>
      <w:r w:rsidRPr="00CA6451">
        <w:rPr>
          <w:rFonts w:cs="Arial"/>
          <w:color w:val="231F20"/>
          <w:szCs w:val="22"/>
        </w:rPr>
        <w:t xml:space="preserve">Benbrook, C., 2001, </w:t>
      </w:r>
      <w:r w:rsidRPr="00CA6451">
        <w:rPr>
          <w:rFonts w:cs="Arial"/>
          <w:i/>
          <w:iCs/>
          <w:color w:val="231F20"/>
          <w:szCs w:val="22"/>
        </w:rPr>
        <w:t xml:space="preserve">Troubled Times Amid Commercial Success for Roundup Ready Soybeans: Glyphosate Efficacy is Slipping and Unstable Transgene Expression Erodes Plant </w:t>
      </w:r>
      <w:proofErr w:type="spellStart"/>
      <w:r w:rsidRPr="00CA6451">
        <w:rPr>
          <w:rFonts w:cs="Arial"/>
          <w:i/>
          <w:iCs/>
          <w:color w:val="231F20"/>
          <w:szCs w:val="22"/>
        </w:rPr>
        <w:t>Defenses</w:t>
      </w:r>
      <w:proofErr w:type="spellEnd"/>
      <w:r w:rsidRPr="00CA6451">
        <w:rPr>
          <w:rFonts w:cs="Arial"/>
          <w:i/>
          <w:iCs/>
          <w:color w:val="231F20"/>
          <w:szCs w:val="22"/>
        </w:rPr>
        <w:t xml:space="preserve"> and Yields</w:t>
      </w:r>
      <w:r w:rsidRPr="00CA6451">
        <w:rPr>
          <w:rFonts w:cs="Arial"/>
          <w:color w:val="231F20"/>
          <w:szCs w:val="22"/>
        </w:rPr>
        <w:t xml:space="preserve">, </w:t>
      </w:r>
      <w:proofErr w:type="spellStart"/>
      <w:r w:rsidRPr="00CA6451">
        <w:rPr>
          <w:rFonts w:cs="Arial"/>
          <w:color w:val="231F20"/>
          <w:szCs w:val="22"/>
        </w:rPr>
        <w:t>BioTech</w:t>
      </w:r>
      <w:proofErr w:type="spellEnd"/>
      <w:r w:rsidRPr="00CA6451">
        <w:rPr>
          <w:rFonts w:cs="Arial"/>
          <w:color w:val="231F20"/>
          <w:szCs w:val="22"/>
        </w:rPr>
        <w:t xml:space="preserve"> </w:t>
      </w:r>
      <w:proofErr w:type="spellStart"/>
      <w:r w:rsidRPr="00CA6451">
        <w:rPr>
          <w:rFonts w:cs="Arial"/>
          <w:color w:val="231F20"/>
          <w:szCs w:val="22"/>
        </w:rPr>
        <w:t>InfoNet</w:t>
      </w:r>
      <w:proofErr w:type="spellEnd"/>
      <w:r w:rsidRPr="00CA6451">
        <w:rPr>
          <w:rFonts w:cs="Arial"/>
          <w:color w:val="231F20"/>
          <w:szCs w:val="22"/>
        </w:rPr>
        <w:t>, Technical Paper No.4.</w:t>
      </w:r>
    </w:p>
    <w:p w14:paraId="140260A1" w14:textId="77777777" w:rsidR="002278E2" w:rsidRPr="00CA6451" w:rsidRDefault="002278E2" w:rsidP="002278E2">
      <w:pPr>
        <w:autoSpaceDE w:val="0"/>
        <w:autoSpaceDN w:val="0"/>
        <w:adjustRightInd w:val="0"/>
        <w:spacing w:after="0" w:line="240" w:lineRule="auto"/>
        <w:rPr>
          <w:rFonts w:cs="Arial"/>
          <w:color w:val="231F20"/>
          <w:szCs w:val="22"/>
        </w:rPr>
      </w:pPr>
      <w:r w:rsidRPr="00CA6451">
        <w:rPr>
          <w:rFonts w:cs="Arial"/>
          <w:color w:val="231F20"/>
          <w:szCs w:val="22"/>
        </w:rPr>
        <w:t xml:space="preserve">Bio Economic Research Associates, 2005, </w:t>
      </w:r>
      <w:r w:rsidRPr="00CA6451">
        <w:rPr>
          <w:rFonts w:cs="Arial"/>
          <w:i/>
          <w:iCs/>
          <w:color w:val="231F20"/>
          <w:szCs w:val="22"/>
        </w:rPr>
        <w:t>Agricultural Biotechnology 2005: Regional Trends in Adoption and Acceptance</w:t>
      </w:r>
      <w:r w:rsidRPr="00CA6451">
        <w:rPr>
          <w:rFonts w:cs="Arial"/>
          <w:color w:val="231F20"/>
          <w:szCs w:val="22"/>
        </w:rPr>
        <w:t>, Bio Economic Research Associates, Cambridge, Massachusetts.</w:t>
      </w:r>
    </w:p>
    <w:p w14:paraId="056B3EDD" w14:textId="77777777" w:rsidR="002278E2" w:rsidRPr="00CA6451" w:rsidRDefault="002278E2" w:rsidP="002278E2">
      <w:pPr>
        <w:autoSpaceDE w:val="0"/>
        <w:autoSpaceDN w:val="0"/>
        <w:adjustRightInd w:val="0"/>
        <w:spacing w:after="0" w:line="240" w:lineRule="auto"/>
        <w:rPr>
          <w:rFonts w:cs="Arial"/>
          <w:color w:val="231F20"/>
          <w:szCs w:val="22"/>
        </w:rPr>
      </w:pPr>
      <w:r w:rsidRPr="00CA6451">
        <w:rPr>
          <w:rFonts w:cs="Arial"/>
          <w:color w:val="231F20"/>
          <w:szCs w:val="22"/>
        </w:rPr>
        <w:t xml:space="preserve">Bradford, K., Van </w:t>
      </w:r>
      <w:proofErr w:type="spellStart"/>
      <w:r w:rsidRPr="00CA6451">
        <w:rPr>
          <w:rFonts w:cs="Arial"/>
          <w:color w:val="231F20"/>
          <w:szCs w:val="22"/>
        </w:rPr>
        <w:t>Deynze</w:t>
      </w:r>
      <w:proofErr w:type="spellEnd"/>
      <w:r w:rsidRPr="00CA6451">
        <w:rPr>
          <w:rFonts w:cs="Arial"/>
          <w:color w:val="231F20"/>
          <w:szCs w:val="22"/>
        </w:rPr>
        <w:t xml:space="preserve">, A., </w:t>
      </w:r>
      <w:proofErr w:type="spellStart"/>
      <w:r w:rsidRPr="00CA6451">
        <w:rPr>
          <w:rFonts w:cs="Arial"/>
          <w:color w:val="231F20"/>
          <w:szCs w:val="22"/>
        </w:rPr>
        <w:t>Gutterson</w:t>
      </w:r>
      <w:proofErr w:type="spellEnd"/>
      <w:r w:rsidRPr="00CA6451">
        <w:rPr>
          <w:rFonts w:cs="Arial"/>
          <w:color w:val="231F20"/>
          <w:szCs w:val="22"/>
        </w:rPr>
        <w:t xml:space="preserve">, N., Parrott, W., and Strauss, S., 2005, “Regulating Transgenic Crops Sensibly: Lessons from Plant Breeding, Biotechnology and Genomics”, </w:t>
      </w:r>
      <w:r w:rsidRPr="00CA6451">
        <w:rPr>
          <w:rFonts w:cs="Arial"/>
          <w:i/>
          <w:iCs/>
          <w:color w:val="231F20"/>
          <w:szCs w:val="22"/>
        </w:rPr>
        <w:t>Nature Biotechnology</w:t>
      </w:r>
      <w:r w:rsidRPr="00CA6451">
        <w:rPr>
          <w:rFonts w:cs="Arial"/>
          <w:color w:val="231F20"/>
          <w:szCs w:val="22"/>
        </w:rPr>
        <w:t>, Vol.23, No.4, pp.439–44.</w:t>
      </w:r>
    </w:p>
    <w:p w14:paraId="77F9C392" w14:textId="77777777" w:rsidR="002278E2" w:rsidRPr="00CA6451" w:rsidRDefault="002278E2" w:rsidP="002278E2">
      <w:pPr>
        <w:autoSpaceDE w:val="0"/>
        <w:autoSpaceDN w:val="0"/>
        <w:adjustRightInd w:val="0"/>
        <w:spacing w:after="0" w:line="240" w:lineRule="auto"/>
        <w:rPr>
          <w:rFonts w:cs="Arial"/>
          <w:color w:val="231F20"/>
          <w:szCs w:val="22"/>
        </w:rPr>
      </w:pPr>
      <w:r w:rsidRPr="00CA6451">
        <w:rPr>
          <w:rFonts w:cs="Arial"/>
          <w:color w:val="231F20"/>
          <w:szCs w:val="22"/>
        </w:rPr>
        <w:t xml:space="preserve">Brookes, G., and Barfoot, P., 2005, </w:t>
      </w:r>
      <w:r w:rsidRPr="00CA6451">
        <w:rPr>
          <w:rFonts w:cs="Arial"/>
          <w:i/>
          <w:iCs/>
          <w:color w:val="231F20"/>
          <w:szCs w:val="22"/>
        </w:rPr>
        <w:t xml:space="preserve">GM Crops: </w:t>
      </w:r>
      <w:proofErr w:type="gramStart"/>
      <w:r w:rsidRPr="00CA6451">
        <w:rPr>
          <w:rFonts w:cs="Arial"/>
          <w:i/>
          <w:iCs/>
          <w:color w:val="231F20"/>
          <w:szCs w:val="22"/>
        </w:rPr>
        <w:t>the</w:t>
      </w:r>
      <w:proofErr w:type="gramEnd"/>
      <w:r w:rsidRPr="00CA6451">
        <w:rPr>
          <w:rFonts w:cs="Arial"/>
          <w:i/>
          <w:iCs/>
          <w:color w:val="231F20"/>
          <w:szCs w:val="22"/>
        </w:rPr>
        <w:t xml:space="preserve"> Global Socioeconomic and Environmental Impact — the First Nine Years 1996–200</w:t>
      </w:r>
      <w:r w:rsidRPr="00CA6451">
        <w:rPr>
          <w:rFonts w:cs="Arial"/>
          <w:color w:val="231F20"/>
          <w:szCs w:val="22"/>
        </w:rPr>
        <w:t>4, PG Economics Ltd, Dorchester.</w:t>
      </w:r>
    </w:p>
    <w:p w14:paraId="35A6DD66" w14:textId="77777777" w:rsidR="002278E2" w:rsidRPr="00CA6451" w:rsidRDefault="002278E2" w:rsidP="002278E2">
      <w:pPr>
        <w:autoSpaceDE w:val="0"/>
        <w:autoSpaceDN w:val="0"/>
        <w:adjustRightInd w:val="0"/>
        <w:spacing w:after="0" w:line="240" w:lineRule="auto"/>
        <w:rPr>
          <w:rFonts w:cs="Arial"/>
          <w:color w:val="231F20"/>
          <w:szCs w:val="22"/>
        </w:rPr>
      </w:pPr>
      <w:r w:rsidRPr="00CA6451">
        <w:rPr>
          <w:rFonts w:cs="Arial"/>
          <w:color w:val="231F20"/>
          <w:szCs w:val="22"/>
        </w:rPr>
        <w:t xml:space="preserve">CAST, 2005, “Adventitious Presence”, </w:t>
      </w:r>
      <w:r w:rsidRPr="00CA6451">
        <w:rPr>
          <w:rFonts w:cs="Arial"/>
          <w:i/>
          <w:iCs/>
          <w:color w:val="231F20"/>
          <w:szCs w:val="22"/>
        </w:rPr>
        <w:t xml:space="preserve">CAST Commentary, </w:t>
      </w:r>
      <w:r w:rsidRPr="00CA6451">
        <w:rPr>
          <w:rFonts w:cs="Arial"/>
          <w:color w:val="231F20"/>
          <w:szCs w:val="22"/>
        </w:rPr>
        <w:t xml:space="preserve">July. </w:t>
      </w:r>
      <w:proofErr w:type="spellStart"/>
      <w:r w:rsidRPr="00CA6451">
        <w:rPr>
          <w:rFonts w:cs="Arial"/>
          <w:color w:val="231F20"/>
          <w:szCs w:val="22"/>
        </w:rPr>
        <w:t>Traill</w:t>
      </w:r>
      <w:proofErr w:type="spellEnd"/>
      <w:r w:rsidRPr="00CA6451">
        <w:rPr>
          <w:rFonts w:cs="Arial"/>
          <w:color w:val="231F20"/>
          <w:szCs w:val="22"/>
        </w:rPr>
        <w:t xml:space="preserve">, W., Jaeger, S., Yee, W., Valli, C., House, L., Lusk, J., Moore, M., and Morrow, J., 2004, “Categories of GM Risk-Benefit Perceptions and Their Antecedents”, in </w:t>
      </w:r>
      <w:proofErr w:type="spellStart"/>
      <w:r w:rsidRPr="00CA6451">
        <w:rPr>
          <w:rFonts w:cs="Arial"/>
          <w:i/>
          <w:iCs/>
          <w:color w:val="231F20"/>
          <w:szCs w:val="22"/>
        </w:rPr>
        <w:t>AgBioForum</w:t>
      </w:r>
      <w:proofErr w:type="spellEnd"/>
      <w:r w:rsidRPr="00CA6451">
        <w:rPr>
          <w:rFonts w:cs="Arial"/>
          <w:color w:val="231F20"/>
          <w:szCs w:val="22"/>
        </w:rPr>
        <w:t>, Vol.7, No.4, pp.176–86.</w:t>
      </w:r>
    </w:p>
    <w:p w14:paraId="51C60E39" w14:textId="77777777" w:rsidR="002278E2" w:rsidRPr="00CA6451" w:rsidRDefault="002278E2" w:rsidP="002278E2">
      <w:pPr>
        <w:autoSpaceDE w:val="0"/>
        <w:autoSpaceDN w:val="0"/>
        <w:adjustRightInd w:val="0"/>
        <w:spacing w:after="0" w:line="240" w:lineRule="auto"/>
        <w:rPr>
          <w:rFonts w:cs="Arial"/>
          <w:i/>
          <w:iCs/>
          <w:color w:val="231F20"/>
          <w:szCs w:val="22"/>
        </w:rPr>
      </w:pPr>
      <w:r w:rsidRPr="00CA6451">
        <w:rPr>
          <w:rFonts w:cs="Arial"/>
          <w:color w:val="231F20"/>
          <w:szCs w:val="22"/>
        </w:rPr>
        <w:t xml:space="preserve">Commonwealth Interim Office of the Gene Technology Regulator in collaboration with State and Territory officials, 1999, </w:t>
      </w:r>
      <w:r w:rsidRPr="00CA6451">
        <w:rPr>
          <w:rFonts w:cs="Arial"/>
          <w:i/>
          <w:iCs/>
          <w:color w:val="231F20"/>
          <w:szCs w:val="22"/>
        </w:rPr>
        <w:t>Discussion Paper, Proposed National Regulatory System for Genetically Modified Organisms: How Should it Work?</w:t>
      </w:r>
    </w:p>
    <w:p w14:paraId="7CA1C985" w14:textId="77777777" w:rsidR="002278E2" w:rsidRPr="00CA6451" w:rsidRDefault="002278E2" w:rsidP="002278E2">
      <w:pPr>
        <w:autoSpaceDE w:val="0"/>
        <w:autoSpaceDN w:val="0"/>
        <w:adjustRightInd w:val="0"/>
        <w:spacing w:after="0" w:line="240" w:lineRule="auto"/>
        <w:rPr>
          <w:rFonts w:cs="Arial"/>
          <w:i/>
          <w:iCs/>
          <w:color w:val="231F20"/>
          <w:szCs w:val="22"/>
        </w:rPr>
      </w:pPr>
      <w:r w:rsidRPr="00CA6451">
        <w:rPr>
          <w:rFonts w:cs="Arial"/>
          <w:color w:val="231F20"/>
          <w:szCs w:val="22"/>
        </w:rPr>
        <w:t xml:space="preserve">Council of Australian Governments, 2004, </w:t>
      </w:r>
      <w:r w:rsidRPr="00CA6451">
        <w:rPr>
          <w:rFonts w:cs="Arial"/>
          <w:i/>
          <w:iCs/>
          <w:color w:val="231F20"/>
          <w:szCs w:val="22"/>
        </w:rPr>
        <w:t>Principles and Guidelines for National Standard Setting and Regulatory Action by Ministerial Councils and Standard-Setting Bodies.</w:t>
      </w:r>
    </w:p>
    <w:p w14:paraId="1D865F1A" w14:textId="77777777" w:rsidR="002278E2" w:rsidRPr="00CA6451" w:rsidRDefault="002278E2" w:rsidP="002278E2">
      <w:pPr>
        <w:autoSpaceDE w:val="0"/>
        <w:autoSpaceDN w:val="0"/>
        <w:adjustRightInd w:val="0"/>
        <w:spacing w:after="0" w:line="240" w:lineRule="auto"/>
        <w:rPr>
          <w:rFonts w:cs="Arial"/>
          <w:color w:val="231F20"/>
          <w:szCs w:val="22"/>
        </w:rPr>
      </w:pPr>
      <w:r w:rsidRPr="00CA6451">
        <w:rPr>
          <w:rFonts w:cs="Arial"/>
          <w:color w:val="231F20"/>
          <w:szCs w:val="22"/>
        </w:rPr>
        <w:t xml:space="preserve">CropLife International, 2005, </w:t>
      </w:r>
      <w:r w:rsidRPr="00CA6451">
        <w:rPr>
          <w:rFonts w:cs="Arial"/>
          <w:i/>
          <w:iCs/>
          <w:color w:val="231F20"/>
          <w:szCs w:val="22"/>
        </w:rPr>
        <w:t xml:space="preserve">Conservation Technologies and the Plant Science Industry: Managing Natural Resources Sustainably, </w:t>
      </w:r>
      <w:r w:rsidRPr="00CA6451">
        <w:rPr>
          <w:rFonts w:cs="Arial"/>
          <w:color w:val="231F20"/>
          <w:szCs w:val="22"/>
        </w:rPr>
        <w:t>CropLife International, Brussels.</w:t>
      </w:r>
    </w:p>
    <w:p w14:paraId="2CEC0191" w14:textId="77777777" w:rsidR="002278E2" w:rsidRPr="00CA6451" w:rsidRDefault="002278E2" w:rsidP="002278E2">
      <w:pPr>
        <w:autoSpaceDE w:val="0"/>
        <w:autoSpaceDN w:val="0"/>
        <w:adjustRightInd w:val="0"/>
        <w:spacing w:after="0" w:line="240" w:lineRule="auto"/>
        <w:rPr>
          <w:rFonts w:cs="Arial"/>
          <w:color w:val="231F20"/>
          <w:szCs w:val="22"/>
        </w:rPr>
      </w:pPr>
      <w:r w:rsidRPr="00CA6451">
        <w:rPr>
          <w:rFonts w:cs="Arial"/>
          <w:color w:val="231F20"/>
          <w:szCs w:val="22"/>
        </w:rPr>
        <w:t xml:space="preserve">Dietrich, H., and </w:t>
      </w:r>
      <w:proofErr w:type="spellStart"/>
      <w:r w:rsidRPr="00CA6451">
        <w:rPr>
          <w:rFonts w:cs="Arial"/>
          <w:color w:val="231F20"/>
          <w:szCs w:val="22"/>
        </w:rPr>
        <w:t>Schibeci</w:t>
      </w:r>
      <w:proofErr w:type="spellEnd"/>
      <w:r w:rsidRPr="00CA6451">
        <w:rPr>
          <w:rFonts w:cs="Arial"/>
          <w:color w:val="231F20"/>
          <w:szCs w:val="22"/>
        </w:rPr>
        <w:t>, R., 2003, “Beyond Public Perceptions of Gene Technology:</w:t>
      </w:r>
    </w:p>
    <w:p w14:paraId="59E3046D" w14:textId="4F806298" w:rsidR="002278E2" w:rsidRPr="00CA6451" w:rsidRDefault="002278E2" w:rsidP="002278E2">
      <w:pPr>
        <w:autoSpaceDE w:val="0"/>
        <w:autoSpaceDN w:val="0"/>
        <w:adjustRightInd w:val="0"/>
        <w:spacing w:after="0" w:line="240" w:lineRule="auto"/>
        <w:rPr>
          <w:rFonts w:cs="Arial"/>
          <w:color w:val="231F20"/>
          <w:szCs w:val="22"/>
        </w:rPr>
      </w:pPr>
      <w:r w:rsidRPr="00CA6451">
        <w:rPr>
          <w:rFonts w:cs="Arial"/>
          <w:color w:val="231F20"/>
          <w:szCs w:val="22"/>
        </w:rPr>
        <w:t xml:space="preserve">Community Participation in Public Policy in Australia”, </w:t>
      </w:r>
      <w:r w:rsidRPr="00CA6451">
        <w:rPr>
          <w:rFonts w:cs="Arial"/>
          <w:i/>
          <w:iCs/>
          <w:color w:val="231F20"/>
          <w:szCs w:val="22"/>
        </w:rPr>
        <w:t>Public Understanding of Science</w:t>
      </w:r>
      <w:r w:rsidRPr="00CA6451">
        <w:rPr>
          <w:rFonts w:cs="Arial"/>
          <w:color w:val="231F20"/>
          <w:szCs w:val="22"/>
        </w:rPr>
        <w:t>,</w:t>
      </w:r>
      <w:r w:rsidR="00CA6451" w:rsidRPr="00CA6451">
        <w:rPr>
          <w:rFonts w:cs="Arial"/>
          <w:color w:val="231F20"/>
          <w:szCs w:val="22"/>
        </w:rPr>
        <w:t xml:space="preserve"> </w:t>
      </w:r>
      <w:r w:rsidRPr="00CA6451">
        <w:rPr>
          <w:rFonts w:cs="Arial"/>
          <w:color w:val="231F20"/>
          <w:szCs w:val="22"/>
        </w:rPr>
        <w:t>Vol.12, pp.381–401.</w:t>
      </w:r>
    </w:p>
    <w:p w14:paraId="73D5467E" w14:textId="77777777" w:rsidR="002278E2" w:rsidRPr="00CA6451" w:rsidRDefault="002278E2" w:rsidP="002278E2">
      <w:pPr>
        <w:autoSpaceDE w:val="0"/>
        <w:autoSpaceDN w:val="0"/>
        <w:adjustRightInd w:val="0"/>
        <w:spacing w:after="0" w:line="240" w:lineRule="auto"/>
        <w:rPr>
          <w:rFonts w:cs="Arial"/>
          <w:color w:val="231F20"/>
          <w:szCs w:val="22"/>
        </w:rPr>
      </w:pPr>
      <w:r w:rsidRPr="00CA6451">
        <w:rPr>
          <w:rFonts w:cs="Arial"/>
          <w:color w:val="231F20"/>
          <w:szCs w:val="22"/>
        </w:rPr>
        <w:t xml:space="preserve">Environmental Risk Management Authority (ERMA) New Zealand, 2005, </w:t>
      </w:r>
      <w:r w:rsidRPr="00CA6451">
        <w:rPr>
          <w:rFonts w:cs="Arial"/>
          <w:i/>
          <w:iCs/>
          <w:color w:val="231F20"/>
          <w:szCs w:val="22"/>
        </w:rPr>
        <w:t>Consideration</w:t>
      </w:r>
      <w:r w:rsidR="00994884" w:rsidRPr="00CA6451">
        <w:rPr>
          <w:rFonts w:cs="Arial"/>
          <w:i/>
          <w:iCs/>
          <w:color w:val="231F20"/>
          <w:szCs w:val="22"/>
        </w:rPr>
        <w:t xml:space="preserve"> </w:t>
      </w:r>
      <w:r w:rsidRPr="00CA6451">
        <w:rPr>
          <w:rFonts w:cs="Arial"/>
          <w:i/>
          <w:iCs/>
          <w:color w:val="231F20"/>
          <w:szCs w:val="22"/>
        </w:rPr>
        <w:t xml:space="preserve">of Ethical Issues in HSNO Act Processes: A Discussion Paper, </w:t>
      </w:r>
      <w:r w:rsidRPr="00CA6451">
        <w:rPr>
          <w:rFonts w:cs="Arial"/>
          <w:color w:val="231F20"/>
          <w:szCs w:val="22"/>
        </w:rPr>
        <w:t>ERMA, Wellington.</w:t>
      </w:r>
    </w:p>
    <w:p w14:paraId="5220FDA3" w14:textId="77777777" w:rsidR="002278E2" w:rsidRPr="00CA6451" w:rsidRDefault="002278E2" w:rsidP="002278E2">
      <w:pPr>
        <w:autoSpaceDE w:val="0"/>
        <w:autoSpaceDN w:val="0"/>
        <w:adjustRightInd w:val="0"/>
        <w:spacing w:after="0" w:line="240" w:lineRule="auto"/>
        <w:rPr>
          <w:rFonts w:cs="Arial"/>
          <w:color w:val="231F20"/>
          <w:szCs w:val="22"/>
        </w:rPr>
      </w:pPr>
      <w:r w:rsidRPr="00CA6451">
        <w:rPr>
          <w:rFonts w:cs="Arial"/>
          <w:color w:val="231F20"/>
          <w:szCs w:val="22"/>
        </w:rPr>
        <w:lastRenderedPageBreak/>
        <w:t xml:space="preserve">Environmental Risk Management Authority (ERMA), 1998, </w:t>
      </w:r>
      <w:r w:rsidRPr="00CA6451">
        <w:rPr>
          <w:rFonts w:cs="Arial"/>
          <w:i/>
          <w:iCs/>
          <w:color w:val="231F20"/>
          <w:szCs w:val="22"/>
        </w:rPr>
        <w:t xml:space="preserve">Annotated Methodology </w:t>
      </w:r>
      <w:proofErr w:type="gramStart"/>
      <w:r w:rsidRPr="00CA6451">
        <w:rPr>
          <w:rFonts w:cs="Arial"/>
          <w:i/>
          <w:iCs/>
          <w:color w:val="231F20"/>
          <w:szCs w:val="22"/>
        </w:rPr>
        <w:t>For</w:t>
      </w:r>
      <w:proofErr w:type="gramEnd"/>
      <w:r w:rsidR="00994884" w:rsidRPr="00CA6451">
        <w:rPr>
          <w:rFonts w:cs="Arial"/>
          <w:i/>
          <w:iCs/>
          <w:color w:val="231F20"/>
          <w:szCs w:val="22"/>
        </w:rPr>
        <w:t xml:space="preserve"> </w:t>
      </w:r>
      <w:r w:rsidRPr="00CA6451">
        <w:rPr>
          <w:rFonts w:cs="Arial"/>
          <w:i/>
          <w:iCs/>
          <w:color w:val="231F20"/>
          <w:szCs w:val="22"/>
        </w:rPr>
        <w:t>the Consideration of Applications for Hazardous Substances and New Organisms under the</w:t>
      </w:r>
      <w:r w:rsidR="00994884" w:rsidRPr="00CA6451">
        <w:rPr>
          <w:rFonts w:cs="Arial"/>
          <w:i/>
          <w:iCs/>
          <w:color w:val="231F20"/>
          <w:szCs w:val="22"/>
        </w:rPr>
        <w:t xml:space="preserve"> </w:t>
      </w:r>
      <w:r w:rsidRPr="00CA6451">
        <w:rPr>
          <w:rFonts w:cs="Arial"/>
          <w:i/>
          <w:iCs/>
          <w:color w:val="231F20"/>
          <w:szCs w:val="22"/>
        </w:rPr>
        <w:t>HSNO Act 1996</w:t>
      </w:r>
      <w:r w:rsidRPr="00CA6451">
        <w:rPr>
          <w:rFonts w:cs="Arial"/>
          <w:color w:val="231F20"/>
          <w:szCs w:val="22"/>
        </w:rPr>
        <w:t>, ERMA, Wellington.</w:t>
      </w:r>
    </w:p>
    <w:p w14:paraId="192F8222" w14:textId="77777777" w:rsidR="002278E2" w:rsidRPr="00CA6451" w:rsidRDefault="002278E2" w:rsidP="002278E2">
      <w:pPr>
        <w:autoSpaceDE w:val="0"/>
        <w:autoSpaceDN w:val="0"/>
        <w:adjustRightInd w:val="0"/>
        <w:spacing w:after="0" w:line="240" w:lineRule="auto"/>
        <w:rPr>
          <w:rFonts w:cs="Arial"/>
          <w:color w:val="231F20"/>
          <w:szCs w:val="22"/>
        </w:rPr>
      </w:pPr>
      <w:r w:rsidRPr="00CA6451">
        <w:rPr>
          <w:rFonts w:cs="Arial"/>
          <w:color w:val="231F20"/>
          <w:szCs w:val="22"/>
        </w:rPr>
        <w:t xml:space="preserve">European Commission, 2005, </w:t>
      </w:r>
      <w:r w:rsidRPr="00CA6451">
        <w:rPr>
          <w:rFonts w:cs="Arial"/>
          <w:i/>
          <w:iCs/>
          <w:color w:val="231F20"/>
          <w:szCs w:val="22"/>
        </w:rPr>
        <w:t>Letter to the Foreign Minister of Denmark regarding</w:t>
      </w:r>
      <w:r w:rsidR="00994884" w:rsidRPr="00CA6451">
        <w:rPr>
          <w:rFonts w:cs="Arial"/>
          <w:i/>
          <w:iCs/>
          <w:color w:val="231F20"/>
          <w:szCs w:val="22"/>
        </w:rPr>
        <w:t xml:space="preserve"> </w:t>
      </w:r>
      <w:r w:rsidRPr="00CA6451">
        <w:rPr>
          <w:rFonts w:cs="Arial"/>
          <w:i/>
          <w:iCs/>
          <w:color w:val="231F20"/>
          <w:szCs w:val="22"/>
        </w:rPr>
        <w:t xml:space="preserve">compensation for loss of certain occurrences of genetically modified material, </w:t>
      </w:r>
      <w:r w:rsidRPr="00CA6451">
        <w:rPr>
          <w:rFonts w:cs="Arial"/>
          <w:color w:val="231F20"/>
          <w:szCs w:val="22"/>
        </w:rPr>
        <w:t>Brussels,</w:t>
      </w:r>
      <w:r w:rsidR="00994884" w:rsidRPr="00CA6451">
        <w:rPr>
          <w:rFonts w:cs="Arial"/>
          <w:color w:val="231F20"/>
          <w:szCs w:val="22"/>
        </w:rPr>
        <w:t xml:space="preserve"> </w:t>
      </w:r>
      <w:r w:rsidRPr="00CA6451">
        <w:rPr>
          <w:rFonts w:cs="Arial"/>
          <w:color w:val="231F20"/>
          <w:szCs w:val="22"/>
        </w:rPr>
        <w:t>November.</w:t>
      </w:r>
    </w:p>
    <w:p w14:paraId="6CB04050" w14:textId="77777777" w:rsidR="002278E2" w:rsidRPr="00CA6451" w:rsidRDefault="002278E2" w:rsidP="002278E2">
      <w:pPr>
        <w:autoSpaceDE w:val="0"/>
        <w:autoSpaceDN w:val="0"/>
        <w:adjustRightInd w:val="0"/>
        <w:spacing w:after="0" w:line="240" w:lineRule="auto"/>
        <w:rPr>
          <w:rFonts w:cs="Arial"/>
          <w:color w:val="231F20"/>
          <w:szCs w:val="22"/>
        </w:rPr>
      </w:pPr>
      <w:r w:rsidRPr="00CA6451">
        <w:rPr>
          <w:rFonts w:cs="Arial"/>
          <w:color w:val="231F20"/>
          <w:szCs w:val="22"/>
        </w:rPr>
        <w:t xml:space="preserve">Food Standards Australia New Zealand (FSANZ), 2005, </w:t>
      </w:r>
      <w:r w:rsidRPr="00CA6451">
        <w:rPr>
          <w:rFonts w:cs="Arial"/>
          <w:i/>
          <w:iCs/>
          <w:color w:val="231F20"/>
          <w:szCs w:val="22"/>
        </w:rPr>
        <w:t>GM Foods: Safety Assessment of</w:t>
      </w:r>
      <w:r w:rsidR="00994884" w:rsidRPr="00CA6451">
        <w:rPr>
          <w:rFonts w:cs="Arial"/>
          <w:i/>
          <w:iCs/>
          <w:color w:val="231F20"/>
          <w:szCs w:val="22"/>
        </w:rPr>
        <w:t xml:space="preserve"> </w:t>
      </w:r>
      <w:r w:rsidRPr="00CA6451">
        <w:rPr>
          <w:rFonts w:cs="Arial"/>
          <w:i/>
          <w:iCs/>
          <w:color w:val="231F20"/>
          <w:szCs w:val="22"/>
        </w:rPr>
        <w:t>Genetically Modified Foods</w:t>
      </w:r>
      <w:r w:rsidRPr="00CA6451">
        <w:rPr>
          <w:rFonts w:cs="Arial"/>
          <w:color w:val="231F20"/>
          <w:szCs w:val="22"/>
        </w:rPr>
        <w:t>, FSANZ, Canberra.</w:t>
      </w:r>
    </w:p>
    <w:p w14:paraId="5D94D472" w14:textId="77777777" w:rsidR="002278E2" w:rsidRPr="00CA6451" w:rsidRDefault="002278E2" w:rsidP="002278E2">
      <w:pPr>
        <w:autoSpaceDE w:val="0"/>
        <w:autoSpaceDN w:val="0"/>
        <w:adjustRightInd w:val="0"/>
        <w:spacing w:after="0" w:line="240" w:lineRule="auto"/>
        <w:rPr>
          <w:rFonts w:cs="Arial"/>
          <w:color w:val="231F20"/>
          <w:szCs w:val="22"/>
        </w:rPr>
      </w:pPr>
      <w:r w:rsidRPr="00CA6451">
        <w:rPr>
          <w:rFonts w:cs="Arial"/>
          <w:color w:val="231F20"/>
          <w:szCs w:val="22"/>
        </w:rPr>
        <w:t xml:space="preserve">Foster, M., 2003, </w:t>
      </w:r>
      <w:r w:rsidRPr="00CA6451">
        <w:rPr>
          <w:rFonts w:cs="Arial"/>
          <w:i/>
          <w:iCs/>
          <w:color w:val="231F20"/>
          <w:szCs w:val="22"/>
        </w:rPr>
        <w:t>GM Canola: What are its Econom</w:t>
      </w:r>
      <w:r w:rsidR="00994884" w:rsidRPr="00CA6451">
        <w:rPr>
          <w:rFonts w:cs="Arial"/>
          <w:i/>
          <w:iCs/>
          <w:color w:val="231F20"/>
          <w:szCs w:val="22"/>
        </w:rPr>
        <w:t xml:space="preserve">ics under Australian </w:t>
      </w:r>
      <w:proofErr w:type="gramStart"/>
      <w:r w:rsidR="00994884" w:rsidRPr="00CA6451">
        <w:rPr>
          <w:rFonts w:cs="Arial"/>
          <w:i/>
          <w:iCs/>
          <w:color w:val="231F20"/>
          <w:szCs w:val="22"/>
        </w:rPr>
        <w:t>Conditions?</w:t>
      </w:r>
      <w:r w:rsidRPr="00CA6451">
        <w:rPr>
          <w:rFonts w:cs="Arial"/>
          <w:color w:val="231F20"/>
          <w:szCs w:val="22"/>
        </w:rPr>
        <w:t>,</w:t>
      </w:r>
      <w:proofErr w:type="gramEnd"/>
      <w:r w:rsidR="00994884" w:rsidRPr="00CA6451">
        <w:rPr>
          <w:rFonts w:cs="Arial"/>
          <w:color w:val="231F20"/>
          <w:szCs w:val="22"/>
        </w:rPr>
        <w:t xml:space="preserve"> </w:t>
      </w:r>
      <w:r w:rsidRPr="00CA6451">
        <w:rPr>
          <w:rFonts w:cs="Arial"/>
          <w:color w:val="231F20"/>
          <w:szCs w:val="22"/>
        </w:rPr>
        <w:t>Australian Grains Industry 2003, ABARE, Canberra.</w:t>
      </w:r>
    </w:p>
    <w:p w14:paraId="7132C3B7" w14:textId="77777777" w:rsidR="002278E2" w:rsidRPr="00CA6451" w:rsidRDefault="002278E2" w:rsidP="002278E2">
      <w:pPr>
        <w:autoSpaceDE w:val="0"/>
        <w:autoSpaceDN w:val="0"/>
        <w:adjustRightInd w:val="0"/>
        <w:spacing w:after="0" w:line="240" w:lineRule="auto"/>
        <w:rPr>
          <w:rFonts w:cs="Arial"/>
          <w:color w:val="231F20"/>
          <w:szCs w:val="22"/>
        </w:rPr>
      </w:pPr>
      <w:proofErr w:type="spellStart"/>
      <w:r w:rsidRPr="00CA6451">
        <w:rPr>
          <w:rFonts w:cs="Arial"/>
          <w:color w:val="231F20"/>
          <w:szCs w:val="22"/>
        </w:rPr>
        <w:t>Gunningham</w:t>
      </w:r>
      <w:proofErr w:type="spellEnd"/>
      <w:r w:rsidRPr="00CA6451">
        <w:rPr>
          <w:rFonts w:cs="Arial"/>
          <w:color w:val="231F20"/>
          <w:szCs w:val="22"/>
        </w:rPr>
        <w:t>, N., and Sinclair, D., 1998, “Designing Smart Regulation”, in N.</w:t>
      </w:r>
      <w:r w:rsidR="00994884" w:rsidRPr="00CA6451">
        <w:rPr>
          <w:rFonts w:cs="Arial"/>
          <w:color w:val="231F20"/>
          <w:szCs w:val="22"/>
        </w:rPr>
        <w:t xml:space="preserve"> </w:t>
      </w:r>
      <w:proofErr w:type="spellStart"/>
      <w:r w:rsidRPr="00CA6451">
        <w:rPr>
          <w:rFonts w:cs="Arial"/>
          <w:color w:val="231F20"/>
          <w:szCs w:val="22"/>
        </w:rPr>
        <w:t>Gunningham</w:t>
      </w:r>
      <w:proofErr w:type="spellEnd"/>
      <w:r w:rsidRPr="00CA6451">
        <w:rPr>
          <w:rFonts w:cs="Arial"/>
          <w:color w:val="231F20"/>
          <w:szCs w:val="22"/>
        </w:rPr>
        <w:t xml:space="preserve"> and P. </w:t>
      </w:r>
      <w:proofErr w:type="spellStart"/>
      <w:r w:rsidRPr="00CA6451">
        <w:rPr>
          <w:rFonts w:cs="Arial"/>
          <w:color w:val="231F20"/>
          <w:szCs w:val="22"/>
        </w:rPr>
        <w:t>Grabosky</w:t>
      </w:r>
      <w:proofErr w:type="spellEnd"/>
      <w:r w:rsidRPr="00CA6451">
        <w:rPr>
          <w:rFonts w:cs="Arial"/>
          <w:color w:val="231F20"/>
          <w:szCs w:val="22"/>
        </w:rPr>
        <w:t xml:space="preserve">, (eds.), </w:t>
      </w:r>
      <w:r w:rsidRPr="00CA6451">
        <w:rPr>
          <w:rFonts w:cs="Arial"/>
          <w:i/>
          <w:iCs/>
          <w:color w:val="231F20"/>
          <w:szCs w:val="22"/>
        </w:rPr>
        <w:t>Smart Regulation: Designing Environmental Policy</w:t>
      </w:r>
      <w:r w:rsidRPr="00CA6451">
        <w:rPr>
          <w:rFonts w:cs="Arial"/>
          <w:color w:val="231F20"/>
          <w:szCs w:val="22"/>
        </w:rPr>
        <w:t>,</w:t>
      </w:r>
      <w:r w:rsidR="00994884" w:rsidRPr="00CA6451">
        <w:rPr>
          <w:rFonts w:cs="Arial"/>
          <w:color w:val="231F20"/>
          <w:szCs w:val="22"/>
        </w:rPr>
        <w:t xml:space="preserve"> </w:t>
      </w:r>
      <w:r w:rsidRPr="00CA6451">
        <w:rPr>
          <w:rFonts w:cs="Arial"/>
          <w:color w:val="231F20"/>
          <w:szCs w:val="22"/>
        </w:rPr>
        <w:t>Oxford University Press, Oxford.</w:t>
      </w:r>
    </w:p>
    <w:p w14:paraId="509C4327" w14:textId="77777777" w:rsidR="002278E2" w:rsidRPr="00CA6451" w:rsidRDefault="002278E2" w:rsidP="002278E2">
      <w:pPr>
        <w:autoSpaceDE w:val="0"/>
        <w:autoSpaceDN w:val="0"/>
        <w:adjustRightInd w:val="0"/>
        <w:spacing w:after="0" w:line="240" w:lineRule="auto"/>
        <w:rPr>
          <w:rFonts w:cs="Arial"/>
          <w:color w:val="231F20"/>
          <w:szCs w:val="22"/>
        </w:rPr>
      </w:pPr>
      <w:r w:rsidRPr="00CA6451">
        <w:rPr>
          <w:rFonts w:cs="Arial"/>
          <w:color w:val="231F20"/>
          <w:szCs w:val="22"/>
        </w:rPr>
        <w:t xml:space="preserve">Glover, J., </w:t>
      </w:r>
      <w:proofErr w:type="spellStart"/>
      <w:r w:rsidRPr="00CA6451">
        <w:rPr>
          <w:rFonts w:cs="Arial"/>
          <w:color w:val="231F20"/>
          <w:szCs w:val="22"/>
        </w:rPr>
        <w:t>Mewett</w:t>
      </w:r>
      <w:proofErr w:type="spellEnd"/>
      <w:r w:rsidRPr="00CA6451">
        <w:rPr>
          <w:rFonts w:cs="Arial"/>
          <w:color w:val="231F20"/>
          <w:szCs w:val="22"/>
        </w:rPr>
        <w:t xml:space="preserve">, O., </w:t>
      </w:r>
      <w:proofErr w:type="spellStart"/>
      <w:r w:rsidRPr="00CA6451">
        <w:rPr>
          <w:rFonts w:cs="Arial"/>
          <w:color w:val="231F20"/>
          <w:szCs w:val="22"/>
        </w:rPr>
        <w:t>Tifan</w:t>
      </w:r>
      <w:proofErr w:type="spellEnd"/>
      <w:r w:rsidRPr="00CA6451">
        <w:rPr>
          <w:rFonts w:cs="Arial"/>
          <w:color w:val="231F20"/>
          <w:szCs w:val="22"/>
        </w:rPr>
        <w:t xml:space="preserve">, M., Cunningham, D., </w:t>
      </w:r>
      <w:proofErr w:type="spellStart"/>
      <w:r w:rsidRPr="00CA6451">
        <w:rPr>
          <w:rFonts w:cs="Arial"/>
          <w:color w:val="231F20"/>
          <w:szCs w:val="22"/>
        </w:rPr>
        <w:t>Ritman</w:t>
      </w:r>
      <w:proofErr w:type="spellEnd"/>
      <w:r w:rsidRPr="00CA6451">
        <w:rPr>
          <w:rFonts w:cs="Arial"/>
          <w:color w:val="231F20"/>
          <w:szCs w:val="22"/>
        </w:rPr>
        <w:t>, K., and Morrice, B.,</w:t>
      </w:r>
      <w:r w:rsidR="00994884" w:rsidRPr="00CA6451">
        <w:rPr>
          <w:rFonts w:cs="Arial"/>
          <w:color w:val="231F20"/>
          <w:szCs w:val="22"/>
        </w:rPr>
        <w:t xml:space="preserve"> </w:t>
      </w:r>
      <w:r w:rsidRPr="00CA6451">
        <w:rPr>
          <w:rFonts w:cs="Arial"/>
          <w:color w:val="231F20"/>
          <w:szCs w:val="22"/>
        </w:rPr>
        <w:t xml:space="preserve">(2005) </w:t>
      </w:r>
      <w:r w:rsidRPr="00CA6451">
        <w:rPr>
          <w:rFonts w:cs="Arial"/>
          <w:i/>
          <w:iCs/>
          <w:color w:val="231F20"/>
          <w:szCs w:val="22"/>
        </w:rPr>
        <w:t>What’s in the Pipeline? Genetically modified crops under development in Australia</w:t>
      </w:r>
      <w:r w:rsidRPr="00CA6451">
        <w:rPr>
          <w:rFonts w:cs="Arial"/>
          <w:color w:val="231F20"/>
          <w:szCs w:val="22"/>
        </w:rPr>
        <w:t>,</w:t>
      </w:r>
      <w:r w:rsidR="00994884" w:rsidRPr="00CA6451">
        <w:rPr>
          <w:rFonts w:cs="Arial"/>
          <w:color w:val="231F20"/>
          <w:szCs w:val="22"/>
        </w:rPr>
        <w:t xml:space="preserve"> </w:t>
      </w:r>
      <w:r w:rsidRPr="00CA6451">
        <w:rPr>
          <w:rFonts w:cs="Arial"/>
          <w:color w:val="231F20"/>
          <w:szCs w:val="22"/>
        </w:rPr>
        <w:t>Australian Government Bureau of Rural Sciences, Canberra.</w:t>
      </w:r>
    </w:p>
    <w:p w14:paraId="5AED1499" w14:textId="77777777" w:rsidR="002278E2" w:rsidRPr="00CA6451" w:rsidRDefault="002278E2" w:rsidP="002278E2">
      <w:pPr>
        <w:autoSpaceDE w:val="0"/>
        <w:autoSpaceDN w:val="0"/>
        <w:adjustRightInd w:val="0"/>
        <w:spacing w:after="0" w:line="240" w:lineRule="auto"/>
        <w:rPr>
          <w:rFonts w:cs="Arial"/>
          <w:color w:val="231F20"/>
          <w:szCs w:val="22"/>
        </w:rPr>
      </w:pPr>
      <w:proofErr w:type="spellStart"/>
      <w:r w:rsidRPr="00CA6451">
        <w:rPr>
          <w:rFonts w:cs="Arial"/>
          <w:color w:val="231F20"/>
          <w:szCs w:val="22"/>
        </w:rPr>
        <w:t>Heinzerling</w:t>
      </w:r>
      <w:proofErr w:type="spellEnd"/>
      <w:r w:rsidRPr="00CA6451">
        <w:rPr>
          <w:rFonts w:cs="Arial"/>
          <w:color w:val="231F20"/>
          <w:szCs w:val="22"/>
        </w:rPr>
        <w:t xml:space="preserve">, L., and Ackerman, F., </w:t>
      </w:r>
      <w:r w:rsidRPr="00CA6451">
        <w:rPr>
          <w:rFonts w:cs="Arial"/>
          <w:i/>
          <w:iCs/>
          <w:color w:val="231F20"/>
          <w:szCs w:val="22"/>
        </w:rPr>
        <w:t>Pri</w:t>
      </w:r>
      <w:r w:rsidR="00994884" w:rsidRPr="00CA6451">
        <w:rPr>
          <w:rFonts w:cs="Arial"/>
          <w:i/>
          <w:iCs/>
          <w:color w:val="231F20"/>
          <w:szCs w:val="22"/>
        </w:rPr>
        <w:t>cing the Priceless: Cost-Benefi</w:t>
      </w:r>
      <w:r w:rsidRPr="00CA6451">
        <w:rPr>
          <w:rFonts w:cs="Arial"/>
          <w:i/>
          <w:iCs/>
          <w:color w:val="231F20"/>
          <w:szCs w:val="22"/>
        </w:rPr>
        <w:t xml:space="preserve">t Analysis of </w:t>
      </w:r>
      <w:r w:rsidR="00994884" w:rsidRPr="00CA6451">
        <w:rPr>
          <w:rFonts w:cs="Arial"/>
          <w:i/>
          <w:iCs/>
          <w:color w:val="231F20"/>
          <w:szCs w:val="22"/>
        </w:rPr>
        <w:t>Environmental Protection</w:t>
      </w:r>
      <w:r w:rsidRPr="00CA6451">
        <w:rPr>
          <w:rFonts w:cs="Arial"/>
          <w:color w:val="231F20"/>
          <w:szCs w:val="22"/>
        </w:rPr>
        <w:t>, Georgetown Environmental Law and Policy Institute, Georgetown University.</w:t>
      </w:r>
    </w:p>
    <w:p w14:paraId="20244DAC" w14:textId="77777777" w:rsidR="002278E2" w:rsidRPr="00CA6451" w:rsidRDefault="002278E2" w:rsidP="002278E2">
      <w:pPr>
        <w:autoSpaceDE w:val="0"/>
        <w:autoSpaceDN w:val="0"/>
        <w:adjustRightInd w:val="0"/>
        <w:spacing w:after="0" w:line="240" w:lineRule="auto"/>
        <w:rPr>
          <w:rFonts w:cs="Arial"/>
          <w:color w:val="231F20"/>
          <w:szCs w:val="22"/>
        </w:rPr>
      </w:pPr>
      <w:r w:rsidRPr="00CA6451">
        <w:rPr>
          <w:rFonts w:cs="Arial"/>
          <w:color w:val="231F20"/>
          <w:szCs w:val="22"/>
        </w:rPr>
        <w:t>House of Representatives Standing Committee on Primary Industries and Regional</w:t>
      </w:r>
      <w:r w:rsidR="00994884" w:rsidRPr="00CA6451">
        <w:rPr>
          <w:rFonts w:cs="Arial"/>
          <w:color w:val="231F20"/>
          <w:szCs w:val="22"/>
        </w:rPr>
        <w:t xml:space="preserve"> </w:t>
      </w:r>
      <w:r w:rsidRPr="00CA6451">
        <w:rPr>
          <w:rFonts w:cs="Arial"/>
          <w:color w:val="231F20"/>
          <w:szCs w:val="22"/>
        </w:rPr>
        <w:t xml:space="preserve">Services, 2000, </w:t>
      </w:r>
      <w:r w:rsidRPr="00CA6451">
        <w:rPr>
          <w:rFonts w:cs="Arial"/>
          <w:i/>
          <w:iCs/>
          <w:color w:val="231F20"/>
          <w:szCs w:val="22"/>
        </w:rPr>
        <w:t>Work in Progress: Proceed with Caution, Primary Producer Access to Gene</w:t>
      </w:r>
      <w:r w:rsidR="00994884" w:rsidRPr="00CA6451">
        <w:rPr>
          <w:rFonts w:cs="Arial"/>
          <w:i/>
          <w:iCs/>
          <w:color w:val="231F20"/>
          <w:szCs w:val="22"/>
        </w:rPr>
        <w:t xml:space="preserve"> </w:t>
      </w:r>
      <w:r w:rsidRPr="00CA6451">
        <w:rPr>
          <w:rFonts w:cs="Arial"/>
          <w:i/>
          <w:iCs/>
          <w:color w:val="231F20"/>
          <w:szCs w:val="22"/>
        </w:rPr>
        <w:t>Technology</w:t>
      </w:r>
      <w:r w:rsidRPr="00CA6451">
        <w:rPr>
          <w:rFonts w:cs="Arial"/>
          <w:color w:val="231F20"/>
          <w:szCs w:val="22"/>
        </w:rPr>
        <w:t>,</w:t>
      </w:r>
      <w:r w:rsidR="00994884" w:rsidRPr="00CA6451">
        <w:rPr>
          <w:rFonts w:cs="Arial"/>
          <w:color w:val="231F20"/>
          <w:szCs w:val="22"/>
        </w:rPr>
        <w:t xml:space="preserve"> </w:t>
      </w:r>
      <w:r w:rsidRPr="00CA6451">
        <w:rPr>
          <w:rFonts w:cs="Arial"/>
          <w:color w:val="231F20"/>
          <w:szCs w:val="22"/>
        </w:rPr>
        <w:t>Commonwealth of Australia, Canberra.</w:t>
      </w:r>
    </w:p>
    <w:p w14:paraId="2F52014D" w14:textId="77777777" w:rsidR="002278E2" w:rsidRPr="00CA6451" w:rsidRDefault="002278E2" w:rsidP="002278E2">
      <w:pPr>
        <w:autoSpaceDE w:val="0"/>
        <w:autoSpaceDN w:val="0"/>
        <w:adjustRightInd w:val="0"/>
        <w:spacing w:after="0" w:line="240" w:lineRule="auto"/>
        <w:rPr>
          <w:rFonts w:cs="Arial"/>
          <w:i/>
          <w:iCs/>
          <w:color w:val="231F20"/>
          <w:szCs w:val="22"/>
        </w:rPr>
      </w:pPr>
      <w:r w:rsidRPr="00CA6451">
        <w:rPr>
          <w:rFonts w:cs="Arial"/>
          <w:color w:val="231F20"/>
          <w:szCs w:val="22"/>
        </w:rPr>
        <w:t xml:space="preserve">International Working Group on Administrative Burdens, 2004, </w:t>
      </w:r>
      <w:r w:rsidRPr="00CA6451">
        <w:rPr>
          <w:rFonts w:cs="Arial"/>
          <w:i/>
          <w:iCs/>
          <w:color w:val="231F20"/>
          <w:szCs w:val="22"/>
        </w:rPr>
        <w:t>The Standard Cost</w:t>
      </w:r>
      <w:r w:rsidR="00994884" w:rsidRPr="00CA6451">
        <w:rPr>
          <w:rFonts w:cs="Arial"/>
          <w:i/>
          <w:iCs/>
          <w:color w:val="231F20"/>
          <w:szCs w:val="22"/>
        </w:rPr>
        <w:t xml:space="preserve"> Model: A Framework for Defi</w:t>
      </w:r>
      <w:r w:rsidRPr="00CA6451">
        <w:rPr>
          <w:rFonts w:cs="Arial"/>
          <w:i/>
          <w:iCs/>
          <w:color w:val="231F20"/>
          <w:szCs w:val="22"/>
        </w:rPr>
        <w:t>ning and Quantifying Administrative Burdens for Business.</w:t>
      </w:r>
    </w:p>
    <w:p w14:paraId="0110B1CD" w14:textId="77777777" w:rsidR="002278E2" w:rsidRPr="00CA6451" w:rsidRDefault="002278E2" w:rsidP="002278E2">
      <w:pPr>
        <w:autoSpaceDE w:val="0"/>
        <w:autoSpaceDN w:val="0"/>
        <w:adjustRightInd w:val="0"/>
        <w:spacing w:after="0" w:line="240" w:lineRule="auto"/>
        <w:rPr>
          <w:rFonts w:cs="Arial"/>
          <w:color w:val="231F20"/>
          <w:szCs w:val="22"/>
        </w:rPr>
      </w:pPr>
      <w:r w:rsidRPr="00CA6451">
        <w:rPr>
          <w:rFonts w:cs="Arial"/>
          <w:color w:val="231F20"/>
          <w:szCs w:val="22"/>
        </w:rPr>
        <w:t xml:space="preserve">Jennings, M., 2005, </w:t>
      </w:r>
      <w:r w:rsidRPr="00CA6451">
        <w:rPr>
          <w:rFonts w:cs="Arial"/>
          <w:i/>
          <w:iCs/>
          <w:color w:val="231F20"/>
          <w:szCs w:val="22"/>
        </w:rPr>
        <w:t xml:space="preserve">The Regulation of Risk Analysis Under Domestic Law, </w:t>
      </w:r>
      <w:r w:rsidRPr="00CA6451">
        <w:rPr>
          <w:rFonts w:cs="Arial"/>
          <w:color w:val="231F20"/>
          <w:szCs w:val="22"/>
        </w:rPr>
        <w:t>Risk Analysis</w:t>
      </w:r>
      <w:r w:rsidR="00994884" w:rsidRPr="00CA6451">
        <w:rPr>
          <w:rFonts w:cs="Arial"/>
          <w:color w:val="231F20"/>
          <w:szCs w:val="22"/>
        </w:rPr>
        <w:t xml:space="preserve"> </w:t>
      </w:r>
      <w:r w:rsidRPr="00CA6451">
        <w:rPr>
          <w:rFonts w:cs="Arial"/>
          <w:color w:val="231F20"/>
          <w:szCs w:val="22"/>
        </w:rPr>
        <w:t>Workshop, May.</w:t>
      </w:r>
    </w:p>
    <w:p w14:paraId="24088F4C" w14:textId="77777777" w:rsidR="002278E2" w:rsidRPr="00CA6451" w:rsidRDefault="002278E2" w:rsidP="002278E2">
      <w:pPr>
        <w:autoSpaceDE w:val="0"/>
        <w:autoSpaceDN w:val="0"/>
        <w:adjustRightInd w:val="0"/>
        <w:spacing w:after="0" w:line="240" w:lineRule="auto"/>
        <w:rPr>
          <w:rFonts w:cs="Arial"/>
          <w:color w:val="231F20"/>
          <w:szCs w:val="22"/>
        </w:rPr>
      </w:pPr>
      <w:proofErr w:type="spellStart"/>
      <w:r w:rsidRPr="00CA6451">
        <w:rPr>
          <w:rFonts w:cs="Arial"/>
          <w:color w:val="231F20"/>
          <w:szCs w:val="22"/>
        </w:rPr>
        <w:t>Levidow</w:t>
      </w:r>
      <w:proofErr w:type="spellEnd"/>
      <w:r w:rsidRPr="00CA6451">
        <w:rPr>
          <w:rFonts w:cs="Arial"/>
          <w:color w:val="231F20"/>
          <w:szCs w:val="22"/>
        </w:rPr>
        <w:t xml:space="preserve">, L., </w:t>
      </w:r>
      <w:proofErr w:type="spellStart"/>
      <w:r w:rsidRPr="00CA6451">
        <w:rPr>
          <w:rFonts w:cs="Arial"/>
          <w:color w:val="231F20"/>
          <w:szCs w:val="22"/>
        </w:rPr>
        <w:t>Carr</w:t>
      </w:r>
      <w:proofErr w:type="spellEnd"/>
      <w:r w:rsidRPr="00CA6451">
        <w:rPr>
          <w:rFonts w:cs="Arial"/>
          <w:color w:val="231F20"/>
          <w:szCs w:val="22"/>
        </w:rPr>
        <w:t xml:space="preserve">, S., and Wield, D., 2005, “European Union Regulation of Agri-Biotechnology: Precautionary Links </w:t>
      </w:r>
      <w:r w:rsidR="00994884" w:rsidRPr="00CA6451">
        <w:rPr>
          <w:rFonts w:cs="Arial"/>
          <w:color w:val="231F20"/>
          <w:szCs w:val="22"/>
        </w:rPr>
        <w:t>between</w:t>
      </w:r>
      <w:r w:rsidRPr="00CA6451">
        <w:rPr>
          <w:rFonts w:cs="Arial"/>
          <w:color w:val="231F20"/>
          <w:szCs w:val="22"/>
        </w:rPr>
        <w:t xml:space="preserve"> Science, Expertise and Policy”, </w:t>
      </w:r>
      <w:r w:rsidRPr="00CA6451">
        <w:rPr>
          <w:rFonts w:cs="Arial"/>
          <w:i/>
          <w:iCs/>
          <w:color w:val="231F20"/>
          <w:szCs w:val="22"/>
        </w:rPr>
        <w:t>Science</w:t>
      </w:r>
      <w:r w:rsidR="00994884" w:rsidRPr="00CA6451">
        <w:rPr>
          <w:rFonts w:cs="Arial"/>
          <w:i/>
          <w:iCs/>
          <w:color w:val="231F20"/>
          <w:szCs w:val="22"/>
        </w:rPr>
        <w:t xml:space="preserve"> </w:t>
      </w:r>
      <w:r w:rsidRPr="00CA6451">
        <w:rPr>
          <w:rFonts w:cs="Arial"/>
          <w:i/>
          <w:iCs/>
          <w:color w:val="231F20"/>
          <w:szCs w:val="22"/>
        </w:rPr>
        <w:t xml:space="preserve">and Public Policy, </w:t>
      </w:r>
      <w:r w:rsidRPr="00CA6451">
        <w:rPr>
          <w:rFonts w:cs="Arial"/>
          <w:color w:val="231F20"/>
          <w:szCs w:val="22"/>
        </w:rPr>
        <w:t>August, pp.261–76.</w:t>
      </w:r>
    </w:p>
    <w:p w14:paraId="55F2A3BB" w14:textId="77777777" w:rsidR="002278E2" w:rsidRPr="00CA6451" w:rsidRDefault="002278E2" w:rsidP="002278E2">
      <w:pPr>
        <w:autoSpaceDE w:val="0"/>
        <w:autoSpaceDN w:val="0"/>
        <w:adjustRightInd w:val="0"/>
        <w:spacing w:after="0" w:line="240" w:lineRule="auto"/>
        <w:rPr>
          <w:rFonts w:cs="Arial"/>
          <w:color w:val="231F20"/>
          <w:szCs w:val="22"/>
        </w:rPr>
      </w:pPr>
      <w:proofErr w:type="spellStart"/>
      <w:r w:rsidRPr="00CA6451">
        <w:rPr>
          <w:rFonts w:cs="Arial"/>
          <w:color w:val="231F20"/>
          <w:szCs w:val="22"/>
        </w:rPr>
        <w:t>Löfstedt</w:t>
      </w:r>
      <w:proofErr w:type="spellEnd"/>
      <w:r w:rsidRPr="00CA6451">
        <w:rPr>
          <w:rFonts w:cs="Arial"/>
          <w:color w:val="231F20"/>
          <w:szCs w:val="22"/>
        </w:rPr>
        <w:t xml:space="preserve">, R., 2004, </w:t>
      </w:r>
      <w:r w:rsidRPr="00CA6451">
        <w:rPr>
          <w:rFonts w:cs="Arial"/>
          <w:i/>
          <w:iCs/>
          <w:color w:val="231F20"/>
          <w:szCs w:val="22"/>
        </w:rPr>
        <w:t>The Swing of the Regulatory Pendulum in Europe: From Precautionary</w:t>
      </w:r>
      <w:r w:rsidR="00994884" w:rsidRPr="00CA6451">
        <w:rPr>
          <w:rFonts w:cs="Arial"/>
          <w:i/>
          <w:iCs/>
          <w:color w:val="231F20"/>
          <w:szCs w:val="22"/>
        </w:rPr>
        <w:t xml:space="preserve"> </w:t>
      </w:r>
      <w:r w:rsidRPr="00CA6451">
        <w:rPr>
          <w:rFonts w:cs="Arial"/>
          <w:i/>
          <w:iCs/>
          <w:color w:val="231F20"/>
          <w:szCs w:val="22"/>
        </w:rPr>
        <w:t xml:space="preserve">Principle to (Regulatory) Impact Analysis, </w:t>
      </w:r>
      <w:r w:rsidRPr="00CA6451">
        <w:rPr>
          <w:rFonts w:cs="Arial"/>
          <w:color w:val="231F20"/>
          <w:szCs w:val="22"/>
        </w:rPr>
        <w:t xml:space="preserve">Working Paper, AEI–Brookings Joint </w:t>
      </w:r>
      <w:proofErr w:type="spellStart"/>
      <w:r w:rsidRPr="00CA6451">
        <w:rPr>
          <w:rFonts w:cs="Arial"/>
          <w:color w:val="231F20"/>
          <w:szCs w:val="22"/>
        </w:rPr>
        <w:t>Center</w:t>
      </w:r>
      <w:proofErr w:type="spellEnd"/>
      <w:r w:rsidRPr="00CA6451">
        <w:rPr>
          <w:rFonts w:cs="Arial"/>
          <w:color w:val="231F20"/>
          <w:szCs w:val="22"/>
        </w:rPr>
        <w:t xml:space="preserve"> for</w:t>
      </w:r>
      <w:r w:rsidR="00994884" w:rsidRPr="00CA6451">
        <w:rPr>
          <w:rFonts w:cs="Arial"/>
          <w:color w:val="231F20"/>
          <w:szCs w:val="22"/>
        </w:rPr>
        <w:t xml:space="preserve"> </w:t>
      </w:r>
      <w:r w:rsidRPr="00CA6451">
        <w:rPr>
          <w:rFonts w:cs="Arial"/>
          <w:color w:val="231F20"/>
          <w:szCs w:val="22"/>
        </w:rPr>
        <w:t>Regulatory Studies.</w:t>
      </w:r>
    </w:p>
    <w:p w14:paraId="43C00992" w14:textId="77777777" w:rsidR="002278E2" w:rsidRPr="00CA6451" w:rsidRDefault="002278E2" w:rsidP="002278E2">
      <w:pPr>
        <w:autoSpaceDE w:val="0"/>
        <w:autoSpaceDN w:val="0"/>
        <w:adjustRightInd w:val="0"/>
        <w:spacing w:after="0" w:line="240" w:lineRule="auto"/>
        <w:rPr>
          <w:rFonts w:cs="Arial"/>
          <w:color w:val="231F20"/>
          <w:szCs w:val="22"/>
        </w:rPr>
      </w:pPr>
      <w:r w:rsidRPr="00CA6451">
        <w:rPr>
          <w:rFonts w:cs="Arial"/>
          <w:color w:val="231F20"/>
          <w:szCs w:val="22"/>
        </w:rPr>
        <w:t>Ludlow, K., 2004, “Cultivating Chaos: State Responses to Releases of Genetically</w:t>
      </w:r>
      <w:r w:rsidR="00994884" w:rsidRPr="00CA6451">
        <w:rPr>
          <w:rFonts w:cs="Arial"/>
          <w:color w:val="231F20"/>
          <w:szCs w:val="22"/>
        </w:rPr>
        <w:t xml:space="preserve"> Modifi</w:t>
      </w:r>
      <w:r w:rsidRPr="00CA6451">
        <w:rPr>
          <w:rFonts w:cs="Arial"/>
          <w:color w:val="231F20"/>
          <w:szCs w:val="22"/>
        </w:rPr>
        <w:t xml:space="preserve">ed Organisms”, </w:t>
      </w:r>
      <w:r w:rsidRPr="00CA6451">
        <w:rPr>
          <w:rFonts w:cs="Arial"/>
          <w:i/>
          <w:iCs/>
          <w:color w:val="231F20"/>
          <w:szCs w:val="22"/>
        </w:rPr>
        <w:t>Deakin Law Review</w:t>
      </w:r>
      <w:r w:rsidRPr="00CA6451">
        <w:rPr>
          <w:rFonts w:cs="Arial"/>
          <w:color w:val="231F20"/>
          <w:szCs w:val="22"/>
        </w:rPr>
        <w:t>, Vol.9, No.1, pp. 1–39.</w:t>
      </w:r>
    </w:p>
    <w:p w14:paraId="4B788791" w14:textId="77777777" w:rsidR="002278E2" w:rsidRPr="00CA6451" w:rsidRDefault="002278E2" w:rsidP="002278E2">
      <w:pPr>
        <w:autoSpaceDE w:val="0"/>
        <w:autoSpaceDN w:val="0"/>
        <w:adjustRightInd w:val="0"/>
        <w:spacing w:after="0" w:line="240" w:lineRule="auto"/>
        <w:rPr>
          <w:rFonts w:cs="Arial"/>
          <w:color w:val="231F20"/>
          <w:szCs w:val="22"/>
        </w:rPr>
      </w:pPr>
      <w:proofErr w:type="spellStart"/>
      <w:r w:rsidRPr="00CA6451">
        <w:rPr>
          <w:rFonts w:cs="Arial"/>
          <w:color w:val="231F20"/>
          <w:szCs w:val="22"/>
        </w:rPr>
        <w:t>Lunney</w:t>
      </w:r>
      <w:proofErr w:type="spellEnd"/>
      <w:r w:rsidRPr="00CA6451">
        <w:rPr>
          <w:rFonts w:cs="Arial"/>
          <w:color w:val="231F20"/>
          <w:szCs w:val="22"/>
        </w:rPr>
        <w:t xml:space="preserve">, M., 2004, </w:t>
      </w:r>
      <w:r w:rsidRPr="00CA6451">
        <w:rPr>
          <w:rFonts w:cs="Arial"/>
          <w:i/>
          <w:iCs/>
          <w:color w:val="231F20"/>
          <w:szCs w:val="22"/>
        </w:rPr>
        <w:t xml:space="preserve">Tort Liability for Cross-Pollination from a GMO: </w:t>
      </w:r>
      <w:proofErr w:type="gramStart"/>
      <w:r w:rsidRPr="00CA6451">
        <w:rPr>
          <w:rFonts w:cs="Arial"/>
          <w:i/>
          <w:iCs/>
          <w:color w:val="231F20"/>
          <w:szCs w:val="22"/>
        </w:rPr>
        <w:t>the</w:t>
      </w:r>
      <w:proofErr w:type="gramEnd"/>
      <w:r w:rsidRPr="00CA6451">
        <w:rPr>
          <w:rFonts w:cs="Arial"/>
          <w:i/>
          <w:iCs/>
          <w:color w:val="231F20"/>
          <w:szCs w:val="22"/>
        </w:rPr>
        <w:t xml:space="preserve"> Importance</w:t>
      </w:r>
      <w:r w:rsidR="007C53EC" w:rsidRPr="00CA6451">
        <w:rPr>
          <w:rFonts w:cs="Arial"/>
          <w:i/>
          <w:iCs/>
          <w:color w:val="231F20"/>
          <w:szCs w:val="22"/>
        </w:rPr>
        <w:t xml:space="preserve"> of Defi</w:t>
      </w:r>
      <w:r w:rsidRPr="00CA6451">
        <w:rPr>
          <w:rFonts w:cs="Arial"/>
          <w:i/>
          <w:iCs/>
          <w:color w:val="231F20"/>
          <w:szCs w:val="22"/>
        </w:rPr>
        <w:t>ning the Damage</w:t>
      </w:r>
      <w:r w:rsidRPr="00CA6451">
        <w:rPr>
          <w:rFonts w:cs="Arial"/>
          <w:color w:val="231F20"/>
          <w:szCs w:val="22"/>
        </w:rPr>
        <w:t>, lecture delivered to the Australian Centre for Intellectual</w:t>
      </w:r>
      <w:r w:rsidR="007C53EC" w:rsidRPr="00CA6451">
        <w:rPr>
          <w:rFonts w:cs="Arial"/>
          <w:color w:val="231F20"/>
          <w:szCs w:val="22"/>
        </w:rPr>
        <w:t xml:space="preserve"> </w:t>
      </w:r>
      <w:r w:rsidRPr="00CA6451">
        <w:rPr>
          <w:rFonts w:cs="Arial"/>
          <w:color w:val="231F20"/>
          <w:szCs w:val="22"/>
        </w:rPr>
        <w:t>Property in Agriculture at the Australian National University, August.</w:t>
      </w:r>
    </w:p>
    <w:p w14:paraId="121A386B" w14:textId="77777777" w:rsidR="002278E2" w:rsidRPr="00CA6451" w:rsidRDefault="002278E2" w:rsidP="002278E2">
      <w:pPr>
        <w:autoSpaceDE w:val="0"/>
        <w:autoSpaceDN w:val="0"/>
        <w:adjustRightInd w:val="0"/>
        <w:spacing w:after="0" w:line="240" w:lineRule="auto"/>
        <w:rPr>
          <w:rFonts w:cs="Arial"/>
          <w:color w:val="231F20"/>
          <w:szCs w:val="22"/>
        </w:rPr>
      </w:pPr>
      <w:proofErr w:type="spellStart"/>
      <w:r w:rsidRPr="00CA6451">
        <w:rPr>
          <w:rFonts w:cs="Arial"/>
          <w:color w:val="231F20"/>
          <w:szCs w:val="22"/>
        </w:rPr>
        <w:t>Lunney</w:t>
      </w:r>
      <w:proofErr w:type="spellEnd"/>
      <w:r w:rsidRPr="00CA6451">
        <w:rPr>
          <w:rFonts w:cs="Arial"/>
          <w:color w:val="231F20"/>
          <w:szCs w:val="22"/>
        </w:rPr>
        <w:t xml:space="preserve">, M., 2004, </w:t>
      </w:r>
      <w:r w:rsidRPr="00CA6451">
        <w:rPr>
          <w:rFonts w:cs="Arial"/>
          <w:i/>
          <w:iCs/>
          <w:color w:val="231F20"/>
          <w:szCs w:val="22"/>
        </w:rPr>
        <w:t>“Damage” and Cross-Pollination by a Deliberately Released Genetically-</w:t>
      </w:r>
      <w:r w:rsidR="007C53EC" w:rsidRPr="00CA6451">
        <w:rPr>
          <w:rFonts w:cs="Arial"/>
          <w:i/>
          <w:iCs/>
          <w:color w:val="231F20"/>
          <w:szCs w:val="22"/>
        </w:rPr>
        <w:t xml:space="preserve"> Modifi</w:t>
      </w:r>
      <w:r w:rsidRPr="00CA6451">
        <w:rPr>
          <w:rFonts w:cs="Arial"/>
          <w:i/>
          <w:iCs/>
          <w:color w:val="231F20"/>
          <w:szCs w:val="22"/>
        </w:rPr>
        <w:t>ed Organism</w:t>
      </w:r>
      <w:r w:rsidRPr="00CA6451">
        <w:rPr>
          <w:rFonts w:cs="Arial"/>
          <w:color w:val="231F20"/>
          <w:szCs w:val="22"/>
        </w:rPr>
        <w:t>, lecture delivered to the Australian Centre for Intellectual Property</w:t>
      </w:r>
      <w:r w:rsidR="007C53EC" w:rsidRPr="00CA6451">
        <w:rPr>
          <w:rFonts w:cs="Arial"/>
          <w:color w:val="231F20"/>
          <w:szCs w:val="22"/>
        </w:rPr>
        <w:t xml:space="preserve"> </w:t>
      </w:r>
      <w:r w:rsidRPr="00CA6451">
        <w:rPr>
          <w:rFonts w:cs="Arial"/>
          <w:color w:val="231F20"/>
          <w:szCs w:val="22"/>
        </w:rPr>
        <w:t>in Agriculture at the Australian National University, August.</w:t>
      </w:r>
    </w:p>
    <w:p w14:paraId="11DC31F5" w14:textId="77777777" w:rsidR="002278E2" w:rsidRPr="00CA6451" w:rsidRDefault="002278E2" w:rsidP="002278E2">
      <w:pPr>
        <w:autoSpaceDE w:val="0"/>
        <w:autoSpaceDN w:val="0"/>
        <w:adjustRightInd w:val="0"/>
        <w:spacing w:after="0" w:line="240" w:lineRule="auto"/>
        <w:rPr>
          <w:rFonts w:cs="Arial"/>
          <w:color w:val="231F20"/>
          <w:szCs w:val="22"/>
        </w:rPr>
      </w:pPr>
      <w:proofErr w:type="spellStart"/>
      <w:r w:rsidRPr="00CA6451">
        <w:rPr>
          <w:rFonts w:cs="Arial"/>
          <w:color w:val="231F20"/>
          <w:szCs w:val="22"/>
        </w:rPr>
        <w:t>Lunney</w:t>
      </w:r>
      <w:proofErr w:type="spellEnd"/>
      <w:r w:rsidRPr="00CA6451">
        <w:rPr>
          <w:rFonts w:cs="Arial"/>
          <w:color w:val="231F20"/>
          <w:szCs w:val="22"/>
        </w:rPr>
        <w:t>, M., 2004, “What Australian Courts Might Say About ‘Damage’ from Cross-</w:t>
      </w:r>
      <w:r w:rsidR="007C53EC" w:rsidRPr="00CA6451">
        <w:rPr>
          <w:rFonts w:cs="Arial"/>
          <w:color w:val="231F20"/>
          <w:szCs w:val="22"/>
        </w:rPr>
        <w:t xml:space="preserve"> </w:t>
      </w:r>
      <w:r w:rsidRPr="00CA6451">
        <w:rPr>
          <w:rFonts w:cs="Arial"/>
          <w:color w:val="231F20"/>
          <w:szCs w:val="22"/>
        </w:rPr>
        <w:t xml:space="preserve">Pollination by a GMO”, </w:t>
      </w:r>
      <w:r w:rsidRPr="00CA6451">
        <w:rPr>
          <w:rFonts w:cs="Arial"/>
          <w:i/>
          <w:iCs/>
          <w:color w:val="231F20"/>
          <w:szCs w:val="22"/>
        </w:rPr>
        <w:t xml:space="preserve">The </w:t>
      </w:r>
      <w:proofErr w:type="spellStart"/>
      <w:r w:rsidRPr="00CA6451">
        <w:rPr>
          <w:rFonts w:cs="Arial"/>
          <w:i/>
          <w:iCs/>
          <w:color w:val="231F20"/>
          <w:szCs w:val="22"/>
        </w:rPr>
        <w:t>AgLaw</w:t>
      </w:r>
      <w:proofErr w:type="spellEnd"/>
      <w:r w:rsidRPr="00CA6451">
        <w:rPr>
          <w:rFonts w:cs="Arial"/>
          <w:i/>
          <w:iCs/>
          <w:color w:val="231F20"/>
          <w:szCs w:val="22"/>
        </w:rPr>
        <w:t xml:space="preserve"> Papers</w:t>
      </w:r>
      <w:r w:rsidRPr="00CA6451">
        <w:rPr>
          <w:rFonts w:cs="Arial"/>
          <w:color w:val="231F20"/>
          <w:szCs w:val="22"/>
        </w:rPr>
        <w:t>, Book 2 on Agriculture and Biotechnology,</w:t>
      </w:r>
      <w:r w:rsidR="007C53EC" w:rsidRPr="00CA6451">
        <w:rPr>
          <w:rFonts w:cs="Arial"/>
          <w:color w:val="231F20"/>
          <w:szCs w:val="22"/>
        </w:rPr>
        <w:t xml:space="preserve"> </w:t>
      </w:r>
      <w:r w:rsidRPr="00CA6451">
        <w:rPr>
          <w:rFonts w:cs="Arial"/>
          <w:color w:val="231F20"/>
          <w:szCs w:val="22"/>
        </w:rPr>
        <w:t>University of New England, pp.27–51.</w:t>
      </w:r>
    </w:p>
    <w:p w14:paraId="7676C002" w14:textId="77777777" w:rsidR="002278E2" w:rsidRPr="00CA6451" w:rsidRDefault="002278E2" w:rsidP="002278E2">
      <w:pPr>
        <w:autoSpaceDE w:val="0"/>
        <w:autoSpaceDN w:val="0"/>
        <w:adjustRightInd w:val="0"/>
        <w:spacing w:after="0" w:line="240" w:lineRule="auto"/>
        <w:rPr>
          <w:rFonts w:cs="Arial"/>
          <w:color w:val="231F20"/>
          <w:szCs w:val="22"/>
        </w:rPr>
      </w:pPr>
      <w:r w:rsidRPr="00CA6451">
        <w:rPr>
          <w:rFonts w:cs="Arial"/>
          <w:color w:val="231F20"/>
          <w:szCs w:val="22"/>
        </w:rPr>
        <w:t xml:space="preserve">Munich Re Group, 2002, </w:t>
      </w:r>
      <w:r w:rsidRPr="00CA6451">
        <w:rPr>
          <w:rFonts w:cs="Arial"/>
          <w:i/>
          <w:iCs/>
          <w:color w:val="231F20"/>
          <w:szCs w:val="22"/>
        </w:rPr>
        <w:t>Genetic Engineering: A Guide for the Liability Underwriter</w:t>
      </w:r>
      <w:r w:rsidRPr="00CA6451">
        <w:rPr>
          <w:rFonts w:cs="Arial"/>
          <w:color w:val="231F20"/>
          <w:szCs w:val="22"/>
        </w:rPr>
        <w:t>,</w:t>
      </w:r>
      <w:r w:rsidR="00C414E9" w:rsidRPr="00CA6451">
        <w:rPr>
          <w:rFonts w:cs="Arial"/>
          <w:color w:val="231F20"/>
          <w:szCs w:val="22"/>
        </w:rPr>
        <w:t xml:space="preserve"> </w:t>
      </w:r>
      <w:r w:rsidRPr="00CA6451">
        <w:rPr>
          <w:rFonts w:cs="Arial"/>
          <w:color w:val="231F20"/>
          <w:szCs w:val="22"/>
        </w:rPr>
        <w:t>Munich Re Group, Munich.</w:t>
      </w:r>
    </w:p>
    <w:p w14:paraId="567521C7" w14:textId="77777777" w:rsidR="002278E2" w:rsidRPr="00CA6451" w:rsidRDefault="002278E2" w:rsidP="002278E2">
      <w:pPr>
        <w:autoSpaceDE w:val="0"/>
        <w:autoSpaceDN w:val="0"/>
        <w:adjustRightInd w:val="0"/>
        <w:spacing w:after="0" w:line="240" w:lineRule="auto"/>
        <w:rPr>
          <w:rFonts w:cs="Arial"/>
          <w:i/>
          <w:iCs/>
          <w:color w:val="231F20"/>
          <w:szCs w:val="22"/>
        </w:rPr>
      </w:pPr>
      <w:r w:rsidRPr="00CA6451">
        <w:rPr>
          <w:rFonts w:cs="Arial"/>
          <w:color w:val="231F20"/>
          <w:szCs w:val="22"/>
        </w:rPr>
        <w:t xml:space="preserve">National Public Health Partnership, 2000, </w:t>
      </w:r>
      <w:r w:rsidRPr="00CA6451">
        <w:rPr>
          <w:rFonts w:cs="Arial"/>
          <w:i/>
          <w:iCs/>
          <w:color w:val="231F20"/>
          <w:szCs w:val="22"/>
        </w:rPr>
        <w:t>The Application of Risk Management Principles</w:t>
      </w:r>
      <w:r w:rsidR="005D2075" w:rsidRPr="00CA6451">
        <w:rPr>
          <w:rFonts w:cs="Arial"/>
          <w:i/>
          <w:iCs/>
          <w:color w:val="231F20"/>
          <w:szCs w:val="22"/>
        </w:rPr>
        <w:t xml:space="preserve"> </w:t>
      </w:r>
      <w:r w:rsidRPr="00CA6451">
        <w:rPr>
          <w:rFonts w:cs="Arial"/>
          <w:i/>
          <w:iCs/>
          <w:color w:val="231F20"/>
          <w:szCs w:val="22"/>
        </w:rPr>
        <w:t>in Public Health Legislation.</w:t>
      </w:r>
    </w:p>
    <w:p w14:paraId="4A1DA722" w14:textId="77777777" w:rsidR="002278E2" w:rsidRPr="00FA644A" w:rsidRDefault="002278E2" w:rsidP="002278E2">
      <w:pPr>
        <w:autoSpaceDE w:val="0"/>
        <w:autoSpaceDN w:val="0"/>
        <w:adjustRightInd w:val="0"/>
        <w:spacing w:after="0" w:line="240" w:lineRule="auto"/>
        <w:rPr>
          <w:rFonts w:cs="Arial"/>
          <w:color w:val="231F20"/>
          <w:szCs w:val="22"/>
        </w:rPr>
      </w:pPr>
      <w:r w:rsidRPr="00FA644A">
        <w:rPr>
          <w:rFonts w:cs="Arial"/>
          <w:color w:val="231F20"/>
          <w:szCs w:val="22"/>
        </w:rPr>
        <w:lastRenderedPageBreak/>
        <w:t>Office of Regulation Review, 1995, T</w:t>
      </w:r>
      <w:r w:rsidRPr="00FA644A">
        <w:rPr>
          <w:rFonts w:cs="Arial"/>
          <w:i/>
          <w:iCs/>
          <w:color w:val="231F20"/>
          <w:szCs w:val="22"/>
        </w:rPr>
        <w:t>he Analysis and Regulation of Safety Risk: A Survey</w:t>
      </w:r>
      <w:r w:rsidR="005D2075" w:rsidRPr="00FA644A">
        <w:rPr>
          <w:rFonts w:cs="Arial"/>
          <w:i/>
          <w:iCs/>
          <w:color w:val="231F20"/>
          <w:szCs w:val="22"/>
        </w:rPr>
        <w:t xml:space="preserve"> </w:t>
      </w:r>
      <w:r w:rsidRPr="00FA644A">
        <w:rPr>
          <w:rFonts w:cs="Arial"/>
          <w:i/>
          <w:iCs/>
          <w:color w:val="231F20"/>
          <w:szCs w:val="22"/>
        </w:rPr>
        <w:t xml:space="preserve">of the Practices of National and Commonwealth Regulatory Agencies, </w:t>
      </w:r>
      <w:r w:rsidRPr="00FA644A">
        <w:rPr>
          <w:rFonts w:cs="Arial"/>
          <w:color w:val="231F20"/>
          <w:szCs w:val="22"/>
        </w:rPr>
        <w:t>Commonwealth of</w:t>
      </w:r>
      <w:r w:rsidR="005D2075" w:rsidRPr="00FA644A">
        <w:rPr>
          <w:rFonts w:cs="Arial"/>
          <w:color w:val="231F20"/>
          <w:szCs w:val="22"/>
        </w:rPr>
        <w:t xml:space="preserve"> </w:t>
      </w:r>
      <w:r w:rsidRPr="00FA644A">
        <w:rPr>
          <w:rFonts w:cs="Arial"/>
          <w:color w:val="231F20"/>
          <w:szCs w:val="22"/>
        </w:rPr>
        <w:t>Australia, Canberra.</w:t>
      </w:r>
    </w:p>
    <w:p w14:paraId="4B9935A2" w14:textId="77777777" w:rsidR="002278E2" w:rsidRPr="00FA644A" w:rsidRDefault="005D2075" w:rsidP="002278E2">
      <w:pPr>
        <w:autoSpaceDE w:val="0"/>
        <w:autoSpaceDN w:val="0"/>
        <w:adjustRightInd w:val="0"/>
        <w:spacing w:after="0" w:line="240" w:lineRule="auto"/>
        <w:rPr>
          <w:rFonts w:cs="Arial"/>
          <w:color w:val="231F20"/>
          <w:szCs w:val="22"/>
        </w:rPr>
      </w:pPr>
      <w:r w:rsidRPr="00FA644A">
        <w:rPr>
          <w:rFonts w:cs="Arial"/>
          <w:color w:val="231F20"/>
          <w:szCs w:val="22"/>
        </w:rPr>
        <w:t>Offi</w:t>
      </w:r>
      <w:r w:rsidR="002278E2" w:rsidRPr="00FA644A">
        <w:rPr>
          <w:rFonts w:cs="Arial"/>
          <w:color w:val="231F20"/>
          <w:szCs w:val="22"/>
        </w:rPr>
        <w:t xml:space="preserve">ce of the Gene Technology Regulator (OGTR), 2005, </w:t>
      </w:r>
      <w:r w:rsidR="002278E2" w:rsidRPr="00FA644A">
        <w:rPr>
          <w:rFonts w:cs="Arial"/>
          <w:i/>
          <w:iCs/>
          <w:color w:val="231F20"/>
          <w:szCs w:val="22"/>
        </w:rPr>
        <w:t>Risk Analysis Framework</w:t>
      </w:r>
      <w:r w:rsidR="002278E2" w:rsidRPr="00FA644A">
        <w:rPr>
          <w:rFonts w:cs="Arial"/>
          <w:color w:val="231F20"/>
          <w:szCs w:val="22"/>
        </w:rPr>
        <w:t>,</w:t>
      </w:r>
      <w:r w:rsidRPr="00FA644A">
        <w:rPr>
          <w:rFonts w:cs="Arial"/>
          <w:color w:val="231F20"/>
          <w:szCs w:val="22"/>
        </w:rPr>
        <w:t xml:space="preserve"> </w:t>
      </w:r>
      <w:r w:rsidR="002278E2" w:rsidRPr="00FA644A">
        <w:rPr>
          <w:rFonts w:cs="Arial"/>
          <w:color w:val="231F20"/>
          <w:szCs w:val="22"/>
        </w:rPr>
        <w:t>Commonwealth of Australia, Canberra.</w:t>
      </w:r>
    </w:p>
    <w:p w14:paraId="7D0352A4" w14:textId="77777777" w:rsidR="002278E2" w:rsidRPr="00FA644A" w:rsidRDefault="002278E2" w:rsidP="002278E2">
      <w:pPr>
        <w:autoSpaceDE w:val="0"/>
        <w:autoSpaceDN w:val="0"/>
        <w:adjustRightInd w:val="0"/>
        <w:spacing w:after="0" w:line="240" w:lineRule="auto"/>
        <w:rPr>
          <w:rFonts w:cs="Arial"/>
          <w:color w:val="231F20"/>
          <w:szCs w:val="22"/>
        </w:rPr>
      </w:pPr>
      <w:proofErr w:type="spellStart"/>
      <w:r w:rsidRPr="00FA644A">
        <w:rPr>
          <w:rFonts w:cs="Arial"/>
          <w:color w:val="231F20"/>
          <w:szCs w:val="22"/>
        </w:rPr>
        <w:t>Ogus</w:t>
      </w:r>
      <w:proofErr w:type="spellEnd"/>
      <w:r w:rsidRPr="00FA644A">
        <w:rPr>
          <w:rFonts w:cs="Arial"/>
          <w:color w:val="231F20"/>
          <w:szCs w:val="22"/>
        </w:rPr>
        <w:t xml:space="preserve">, A., and Abbot, C., 2001, </w:t>
      </w:r>
      <w:r w:rsidRPr="00FA644A">
        <w:rPr>
          <w:rFonts w:cs="Arial"/>
          <w:i/>
          <w:iCs/>
          <w:color w:val="231F20"/>
          <w:szCs w:val="22"/>
        </w:rPr>
        <w:t>Pollution and Penalties, paper presented at the Symposium</w:t>
      </w:r>
      <w:r w:rsidR="005D2075" w:rsidRPr="00FA644A">
        <w:rPr>
          <w:rFonts w:cs="Arial"/>
          <w:i/>
          <w:iCs/>
          <w:color w:val="231F20"/>
          <w:szCs w:val="22"/>
        </w:rPr>
        <w:t xml:space="preserve"> </w:t>
      </w:r>
      <w:r w:rsidRPr="00FA644A">
        <w:rPr>
          <w:rFonts w:cs="Arial"/>
          <w:i/>
          <w:iCs/>
          <w:color w:val="231F20"/>
          <w:szCs w:val="22"/>
        </w:rPr>
        <w:t xml:space="preserve">on Law and Economics of Environmental Policy, </w:t>
      </w:r>
      <w:r w:rsidRPr="00FA644A">
        <w:rPr>
          <w:rFonts w:cs="Arial"/>
          <w:color w:val="231F20"/>
          <w:szCs w:val="22"/>
        </w:rPr>
        <w:t>University College London.</w:t>
      </w:r>
    </w:p>
    <w:p w14:paraId="55190FC8" w14:textId="77777777" w:rsidR="002278E2" w:rsidRPr="00FA644A" w:rsidRDefault="002278E2" w:rsidP="002278E2">
      <w:pPr>
        <w:autoSpaceDE w:val="0"/>
        <w:autoSpaceDN w:val="0"/>
        <w:adjustRightInd w:val="0"/>
        <w:spacing w:after="0" w:line="240" w:lineRule="auto"/>
        <w:rPr>
          <w:rFonts w:cs="Arial"/>
          <w:color w:val="231F20"/>
          <w:szCs w:val="22"/>
        </w:rPr>
      </w:pPr>
      <w:r w:rsidRPr="00FA644A">
        <w:rPr>
          <w:rFonts w:cs="Arial"/>
          <w:color w:val="231F20"/>
          <w:szCs w:val="22"/>
        </w:rPr>
        <w:t xml:space="preserve">Organisation for Economic Co-operation and Development (OECD), 2005, </w:t>
      </w:r>
      <w:r w:rsidRPr="00FA644A">
        <w:rPr>
          <w:rFonts w:cs="Arial"/>
          <w:i/>
          <w:iCs/>
          <w:color w:val="231F20"/>
          <w:szCs w:val="22"/>
        </w:rPr>
        <w:t>OECD</w:t>
      </w:r>
      <w:r w:rsidR="005D2075" w:rsidRPr="00FA644A">
        <w:rPr>
          <w:rFonts w:cs="Arial"/>
          <w:i/>
          <w:iCs/>
          <w:color w:val="231F20"/>
          <w:szCs w:val="22"/>
        </w:rPr>
        <w:t xml:space="preserve"> </w:t>
      </w:r>
      <w:r w:rsidRPr="00FA644A">
        <w:rPr>
          <w:rFonts w:cs="Arial"/>
          <w:i/>
          <w:iCs/>
          <w:color w:val="231F20"/>
          <w:szCs w:val="22"/>
        </w:rPr>
        <w:t xml:space="preserve">Guiding Principles for Regulatory Quality and Performance, </w:t>
      </w:r>
      <w:r w:rsidRPr="00FA644A">
        <w:rPr>
          <w:rFonts w:cs="Arial"/>
          <w:color w:val="231F20"/>
          <w:szCs w:val="22"/>
        </w:rPr>
        <w:t>OECD, Paris.</w:t>
      </w:r>
    </w:p>
    <w:p w14:paraId="57888013" w14:textId="77777777" w:rsidR="002278E2" w:rsidRPr="00FA644A" w:rsidRDefault="002278E2" w:rsidP="002278E2">
      <w:pPr>
        <w:autoSpaceDE w:val="0"/>
        <w:autoSpaceDN w:val="0"/>
        <w:adjustRightInd w:val="0"/>
        <w:spacing w:after="0" w:line="240" w:lineRule="auto"/>
        <w:rPr>
          <w:rFonts w:cs="Arial"/>
          <w:color w:val="231F20"/>
          <w:szCs w:val="22"/>
        </w:rPr>
      </w:pPr>
      <w:r w:rsidRPr="00FA644A">
        <w:rPr>
          <w:rFonts w:cs="Arial"/>
          <w:color w:val="231F20"/>
          <w:szCs w:val="22"/>
        </w:rPr>
        <w:t xml:space="preserve">Organisation for Economic Co-operation and Development (OECD), 2004, </w:t>
      </w:r>
      <w:r w:rsidRPr="00FA644A">
        <w:rPr>
          <w:rFonts w:cs="Arial"/>
          <w:i/>
          <w:iCs/>
          <w:color w:val="231F20"/>
          <w:szCs w:val="22"/>
        </w:rPr>
        <w:t>The</w:t>
      </w:r>
      <w:r w:rsidR="005D2075" w:rsidRPr="00FA644A">
        <w:rPr>
          <w:rFonts w:cs="Arial"/>
          <w:i/>
          <w:iCs/>
          <w:color w:val="231F20"/>
          <w:szCs w:val="22"/>
        </w:rPr>
        <w:t xml:space="preserve"> </w:t>
      </w:r>
      <w:r w:rsidRPr="00FA644A">
        <w:rPr>
          <w:rFonts w:cs="Arial"/>
          <w:i/>
          <w:iCs/>
          <w:color w:val="231F20"/>
          <w:szCs w:val="22"/>
        </w:rPr>
        <w:t>Standard C</w:t>
      </w:r>
      <w:r w:rsidR="005D2075" w:rsidRPr="00FA644A">
        <w:rPr>
          <w:rFonts w:cs="Arial"/>
          <w:i/>
          <w:iCs/>
          <w:color w:val="231F20"/>
          <w:szCs w:val="22"/>
        </w:rPr>
        <w:t>ost Model: A framework for defi</w:t>
      </w:r>
      <w:r w:rsidRPr="00FA644A">
        <w:rPr>
          <w:rFonts w:cs="Arial"/>
          <w:i/>
          <w:iCs/>
          <w:color w:val="231F20"/>
          <w:szCs w:val="22"/>
        </w:rPr>
        <w:t>ning and quantifying administrative burdens for</w:t>
      </w:r>
      <w:r w:rsidR="005D2075" w:rsidRPr="00FA644A">
        <w:rPr>
          <w:rFonts w:cs="Arial"/>
          <w:i/>
          <w:iCs/>
          <w:color w:val="231F20"/>
          <w:szCs w:val="22"/>
        </w:rPr>
        <w:t xml:space="preserve"> </w:t>
      </w:r>
      <w:r w:rsidRPr="00FA644A">
        <w:rPr>
          <w:rFonts w:cs="Arial"/>
          <w:i/>
          <w:iCs/>
          <w:color w:val="231F20"/>
          <w:szCs w:val="22"/>
        </w:rPr>
        <w:t>businesses</w:t>
      </w:r>
      <w:r w:rsidRPr="00FA644A">
        <w:rPr>
          <w:rFonts w:cs="Arial"/>
          <w:color w:val="231F20"/>
          <w:szCs w:val="22"/>
        </w:rPr>
        <w:t>, August, OECD, Paris.</w:t>
      </w:r>
    </w:p>
    <w:p w14:paraId="455FCFE9" w14:textId="77777777" w:rsidR="002278E2" w:rsidRPr="00FA644A" w:rsidRDefault="002278E2" w:rsidP="002278E2">
      <w:pPr>
        <w:autoSpaceDE w:val="0"/>
        <w:autoSpaceDN w:val="0"/>
        <w:adjustRightInd w:val="0"/>
        <w:spacing w:after="0" w:line="240" w:lineRule="auto"/>
        <w:rPr>
          <w:rFonts w:cs="Arial"/>
          <w:color w:val="231F20"/>
          <w:szCs w:val="22"/>
        </w:rPr>
      </w:pPr>
      <w:r w:rsidRPr="00FA644A">
        <w:rPr>
          <w:rFonts w:cs="Arial"/>
          <w:color w:val="231F20"/>
          <w:szCs w:val="22"/>
        </w:rPr>
        <w:t>Peel, J., forthcoming, “Precautionary Only in Name? Tensions Between Precaution</w:t>
      </w:r>
      <w:r w:rsidR="00C414E9" w:rsidRPr="00FA644A">
        <w:rPr>
          <w:rFonts w:cs="Arial"/>
          <w:color w:val="231F20"/>
          <w:szCs w:val="22"/>
        </w:rPr>
        <w:t xml:space="preserve"> </w:t>
      </w:r>
      <w:r w:rsidRPr="00FA644A">
        <w:rPr>
          <w:rFonts w:cs="Arial"/>
          <w:color w:val="231F20"/>
          <w:szCs w:val="22"/>
        </w:rPr>
        <w:t>and Risk Assessment in the Australian GMO Regulatory Framework”, in L. Fisher,</w:t>
      </w:r>
      <w:r w:rsidR="00C414E9" w:rsidRPr="00FA644A">
        <w:rPr>
          <w:rFonts w:cs="Arial"/>
          <w:color w:val="231F20"/>
          <w:szCs w:val="22"/>
        </w:rPr>
        <w:t xml:space="preserve"> </w:t>
      </w:r>
      <w:r w:rsidRPr="00FA644A">
        <w:rPr>
          <w:rFonts w:cs="Arial"/>
          <w:color w:val="231F20"/>
          <w:szCs w:val="22"/>
        </w:rPr>
        <w:t xml:space="preserve">J. Jones and R. von </w:t>
      </w:r>
      <w:proofErr w:type="spellStart"/>
      <w:r w:rsidR="005D2075" w:rsidRPr="00FA644A">
        <w:rPr>
          <w:rFonts w:cs="Arial"/>
          <w:color w:val="231F20"/>
          <w:szCs w:val="22"/>
        </w:rPr>
        <w:t>S</w:t>
      </w:r>
      <w:r w:rsidRPr="00FA644A">
        <w:rPr>
          <w:rFonts w:cs="Arial"/>
          <w:color w:val="231F20"/>
          <w:szCs w:val="22"/>
        </w:rPr>
        <w:t>chomberg</w:t>
      </w:r>
      <w:proofErr w:type="spellEnd"/>
      <w:r w:rsidRPr="00FA644A">
        <w:rPr>
          <w:rFonts w:cs="Arial"/>
          <w:color w:val="231F20"/>
          <w:szCs w:val="22"/>
        </w:rPr>
        <w:t xml:space="preserve">, (eds.), </w:t>
      </w:r>
      <w:r w:rsidRPr="00FA644A">
        <w:rPr>
          <w:rFonts w:cs="Arial"/>
          <w:i/>
          <w:iCs/>
          <w:color w:val="231F20"/>
          <w:szCs w:val="22"/>
        </w:rPr>
        <w:t>Implementing the Precautionary Principle:</w:t>
      </w:r>
      <w:r w:rsidR="00C414E9" w:rsidRPr="00FA644A">
        <w:rPr>
          <w:rFonts w:cs="Arial"/>
          <w:i/>
          <w:iCs/>
          <w:color w:val="231F20"/>
          <w:szCs w:val="22"/>
        </w:rPr>
        <w:t xml:space="preserve"> </w:t>
      </w:r>
      <w:r w:rsidRPr="00FA644A">
        <w:rPr>
          <w:rFonts w:cs="Arial"/>
          <w:i/>
          <w:iCs/>
          <w:color w:val="231F20"/>
          <w:szCs w:val="22"/>
        </w:rPr>
        <w:t xml:space="preserve">Perspectives and Prospects, </w:t>
      </w:r>
      <w:r w:rsidRPr="00FA644A">
        <w:rPr>
          <w:rFonts w:cs="Arial"/>
          <w:color w:val="231F20"/>
          <w:szCs w:val="22"/>
        </w:rPr>
        <w:t>Edward Elgar, (forthcoming).</w:t>
      </w:r>
    </w:p>
    <w:p w14:paraId="37B240D0" w14:textId="77777777" w:rsidR="002278E2" w:rsidRPr="00FA644A" w:rsidRDefault="002278E2" w:rsidP="002278E2">
      <w:pPr>
        <w:autoSpaceDE w:val="0"/>
        <w:autoSpaceDN w:val="0"/>
        <w:adjustRightInd w:val="0"/>
        <w:spacing w:after="0" w:line="240" w:lineRule="auto"/>
        <w:rPr>
          <w:rFonts w:cs="Arial"/>
          <w:color w:val="231F20"/>
          <w:szCs w:val="22"/>
        </w:rPr>
      </w:pPr>
      <w:r w:rsidRPr="00FA644A">
        <w:rPr>
          <w:rFonts w:cs="Arial"/>
          <w:color w:val="231F20"/>
          <w:szCs w:val="22"/>
        </w:rPr>
        <w:t xml:space="preserve">Pew Initiative on Food and Biotechnology, 2004, </w:t>
      </w:r>
      <w:r w:rsidRPr="00FA644A">
        <w:rPr>
          <w:rFonts w:cs="Arial"/>
          <w:i/>
          <w:iCs/>
          <w:color w:val="231F20"/>
          <w:szCs w:val="22"/>
        </w:rPr>
        <w:t>Issues in the Regulation of Genetically</w:t>
      </w:r>
      <w:r w:rsidR="00C414E9" w:rsidRPr="00FA644A">
        <w:rPr>
          <w:rFonts w:cs="Arial"/>
          <w:i/>
          <w:iCs/>
          <w:color w:val="231F20"/>
          <w:szCs w:val="22"/>
        </w:rPr>
        <w:t xml:space="preserve"> </w:t>
      </w:r>
      <w:r w:rsidRPr="00FA644A">
        <w:rPr>
          <w:rFonts w:cs="Arial"/>
          <w:i/>
          <w:iCs/>
          <w:color w:val="231F20"/>
          <w:szCs w:val="22"/>
        </w:rPr>
        <w:t xml:space="preserve">Engineered Plants and Animals, </w:t>
      </w:r>
      <w:r w:rsidRPr="00FA644A">
        <w:rPr>
          <w:rFonts w:cs="Arial"/>
          <w:color w:val="231F20"/>
          <w:szCs w:val="22"/>
        </w:rPr>
        <w:t>Pew Initiative on Food and Biotechnology, Washington.</w:t>
      </w:r>
    </w:p>
    <w:p w14:paraId="18682272" w14:textId="77777777" w:rsidR="002278E2" w:rsidRPr="00FA644A" w:rsidRDefault="002278E2" w:rsidP="002278E2">
      <w:pPr>
        <w:autoSpaceDE w:val="0"/>
        <w:autoSpaceDN w:val="0"/>
        <w:adjustRightInd w:val="0"/>
        <w:spacing w:after="0" w:line="240" w:lineRule="auto"/>
        <w:rPr>
          <w:rFonts w:cs="Arial"/>
          <w:color w:val="231F20"/>
          <w:szCs w:val="22"/>
        </w:rPr>
      </w:pPr>
      <w:r w:rsidRPr="00FA644A">
        <w:rPr>
          <w:rFonts w:cs="Arial"/>
          <w:color w:val="231F20"/>
          <w:szCs w:val="22"/>
        </w:rPr>
        <w:t xml:space="preserve">Phelps, B., and </w:t>
      </w:r>
      <w:proofErr w:type="spellStart"/>
      <w:r w:rsidRPr="00FA644A">
        <w:rPr>
          <w:rFonts w:cs="Arial"/>
          <w:color w:val="231F20"/>
          <w:szCs w:val="22"/>
        </w:rPr>
        <w:t>Tager</w:t>
      </w:r>
      <w:proofErr w:type="spellEnd"/>
      <w:r w:rsidRPr="00FA644A">
        <w:rPr>
          <w:rFonts w:cs="Arial"/>
          <w:color w:val="231F20"/>
          <w:szCs w:val="22"/>
        </w:rPr>
        <w:t xml:space="preserve">, J., 2004, “A Critique of the Australian Gene Technology Act and </w:t>
      </w:r>
      <w:r w:rsidR="005D2075" w:rsidRPr="00FA644A">
        <w:rPr>
          <w:rFonts w:cs="Arial"/>
          <w:color w:val="231F20"/>
          <w:szCs w:val="22"/>
        </w:rPr>
        <w:t>its Implementation</w:t>
      </w:r>
      <w:r w:rsidRPr="00FA644A">
        <w:rPr>
          <w:rFonts w:cs="Arial"/>
          <w:color w:val="231F20"/>
          <w:szCs w:val="22"/>
        </w:rPr>
        <w:t xml:space="preserve">”, </w:t>
      </w:r>
      <w:r w:rsidRPr="00FA644A">
        <w:rPr>
          <w:rFonts w:cs="Arial"/>
          <w:i/>
          <w:iCs/>
          <w:color w:val="231F20"/>
          <w:szCs w:val="22"/>
        </w:rPr>
        <w:t>Asia Pacific Journal of Environmental Law</w:t>
      </w:r>
      <w:r w:rsidRPr="00FA644A">
        <w:rPr>
          <w:rFonts w:cs="Arial"/>
          <w:color w:val="231F20"/>
          <w:szCs w:val="22"/>
        </w:rPr>
        <w:t>, Vol.8, Nos.3&amp;4, pp.97–110.</w:t>
      </w:r>
    </w:p>
    <w:p w14:paraId="497EF725" w14:textId="77777777" w:rsidR="002278E2" w:rsidRPr="00FA644A" w:rsidRDefault="002278E2" w:rsidP="002278E2">
      <w:pPr>
        <w:autoSpaceDE w:val="0"/>
        <w:autoSpaceDN w:val="0"/>
        <w:adjustRightInd w:val="0"/>
        <w:spacing w:after="0" w:line="240" w:lineRule="auto"/>
        <w:rPr>
          <w:rFonts w:cs="Arial"/>
          <w:color w:val="231F20"/>
          <w:szCs w:val="22"/>
        </w:rPr>
      </w:pPr>
      <w:r w:rsidRPr="00FA644A">
        <w:rPr>
          <w:rFonts w:cs="Arial"/>
          <w:color w:val="231F20"/>
          <w:szCs w:val="22"/>
        </w:rPr>
        <w:t xml:space="preserve">Productivity Commission, 2004, </w:t>
      </w:r>
      <w:r w:rsidRPr="00FA644A">
        <w:rPr>
          <w:rFonts w:cs="Arial"/>
          <w:i/>
          <w:iCs/>
          <w:color w:val="231F20"/>
          <w:szCs w:val="22"/>
        </w:rPr>
        <w:t>Regulation and its Review 2003–04</w:t>
      </w:r>
      <w:r w:rsidRPr="00FA644A">
        <w:rPr>
          <w:rFonts w:cs="Arial"/>
          <w:color w:val="231F20"/>
          <w:szCs w:val="22"/>
        </w:rPr>
        <w:t>, Annual Report</w:t>
      </w:r>
      <w:r w:rsidR="00C414E9" w:rsidRPr="00FA644A">
        <w:rPr>
          <w:rFonts w:cs="Arial"/>
          <w:color w:val="231F20"/>
          <w:szCs w:val="22"/>
        </w:rPr>
        <w:t xml:space="preserve"> </w:t>
      </w:r>
      <w:r w:rsidRPr="00FA644A">
        <w:rPr>
          <w:rFonts w:cs="Arial"/>
          <w:color w:val="231F20"/>
          <w:szCs w:val="22"/>
        </w:rPr>
        <w:t>Series, Productivity Commission, Canberra.</w:t>
      </w:r>
    </w:p>
    <w:p w14:paraId="68D758E8" w14:textId="77777777" w:rsidR="002278E2" w:rsidRPr="00FA644A" w:rsidRDefault="002278E2" w:rsidP="002278E2">
      <w:pPr>
        <w:autoSpaceDE w:val="0"/>
        <w:autoSpaceDN w:val="0"/>
        <w:adjustRightInd w:val="0"/>
        <w:spacing w:after="0" w:line="240" w:lineRule="auto"/>
        <w:rPr>
          <w:rFonts w:cs="Arial"/>
          <w:color w:val="231F20"/>
          <w:szCs w:val="22"/>
        </w:rPr>
      </w:pPr>
      <w:r w:rsidRPr="00FA644A">
        <w:rPr>
          <w:rFonts w:cs="Arial"/>
          <w:color w:val="231F20"/>
          <w:szCs w:val="22"/>
        </w:rPr>
        <w:t xml:space="preserve">Prime Minister’s Strategy Unit (UK), 2003, </w:t>
      </w:r>
      <w:r w:rsidRPr="00FA644A">
        <w:rPr>
          <w:rFonts w:cs="Arial"/>
          <w:i/>
          <w:iCs/>
          <w:color w:val="231F20"/>
          <w:szCs w:val="22"/>
        </w:rPr>
        <w:t xml:space="preserve">Field Work: Weighing </w:t>
      </w:r>
      <w:r w:rsidR="00C414E9" w:rsidRPr="00FA644A">
        <w:rPr>
          <w:rFonts w:cs="Arial"/>
          <w:i/>
          <w:iCs/>
          <w:color w:val="231F20"/>
          <w:szCs w:val="22"/>
        </w:rPr>
        <w:t>up</w:t>
      </w:r>
      <w:r w:rsidRPr="00FA644A">
        <w:rPr>
          <w:rFonts w:cs="Arial"/>
          <w:i/>
          <w:iCs/>
          <w:color w:val="231F20"/>
          <w:szCs w:val="22"/>
        </w:rPr>
        <w:t xml:space="preserve"> the Costs and</w:t>
      </w:r>
      <w:r w:rsidR="00C414E9" w:rsidRPr="00FA644A">
        <w:rPr>
          <w:rFonts w:cs="Arial"/>
          <w:i/>
          <w:iCs/>
          <w:color w:val="231F20"/>
          <w:szCs w:val="22"/>
        </w:rPr>
        <w:t xml:space="preserve"> Benefi</w:t>
      </w:r>
      <w:r w:rsidRPr="00FA644A">
        <w:rPr>
          <w:rFonts w:cs="Arial"/>
          <w:i/>
          <w:iCs/>
          <w:color w:val="231F20"/>
          <w:szCs w:val="22"/>
        </w:rPr>
        <w:t>ts of GM Crops</w:t>
      </w:r>
      <w:r w:rsidR="00C414E9" w:rsidRPr="00FA644A">
        <w:rPr>
          <w:rFonts w:cs="Arial"/>
          <w:color w:val="231F20"/>
          <w:szCs w:val="22"/>
        </w:rPr>
        <w:t>, Cabinet Offi</w:t>
      </w:r>
      <w:r w:rsidRPr="00FA644A">
        <w:rPr>
          <w:rFonts w:cs="Arial"/>
          <w:color w:val="231F20"/>
          <w:szCs w:val="22"/>
        </w:rPr>
        <w:t>ce, London.</w:t>
      </w:r>
    </w:p>
    <w:p w14:paraId="287ABBE3" w14:textId="77777777" w:rsidR="002278E2" w:rsidRPr="00FA644A" w:rsidRDefault="002278E2" w:rsidP="002278E2">
      <w:pPr>
        <w:autoSpaceDE w:val="0"/>
        <w:autoSpaceDN w:val="0"/>
        <w:adjustRightInd w:val="0"/>
        <w:spacing w:after="0" w:line="240" w:lineRule="auto"/>
        <w:rPr>
          <w:rFonts w:cs="Arial"/>
          <w:color w:val="231F20"/>
          <w:szCs w:val="22"/>
        </w:rPr>
      </w:pPr>
      <w:r w:rsidRPr="00FA644A">
        <w:rPr>
          <w:rFonts w:cs="Arial"/>
          <w:color w:val="231F20"/>
          <w:szCs w:val="22"/>
        </w:rPr>
        <w:t xml:space="preserve">Queensland Government, 2005, </w:t>
      </w:r>
      <w:r w:rsidRPr="00FA644A">
        <w:rPr>
          <w:rFonts w:cs="Arial"/>
          <w:i/>
          <w:iCs/>
          <w:color w:val="231F20"/>
          <w:szCs w:val="22"/>
        </w:rPr>
        <w:t>Developing Strategies for GM and Non-GM Crops in</w:t>
      </w:r>
      <w:r w:rsidR="005D2075" w:rsidRPr="00FA644A">
        <w:rPr>
          <w:rFonts w:cs="Arial"/>
          <w:i/>
          <w:iCs/>
          <w:color w:val="231F20"/>
          <w:szCs w:val="22"/>
        </w:rPr>
        <w:t xml:space="preserve"> </w:t>
      </w:r>
      <w:r w:rsidRPr="00FA644A">
        <w:rPr>
          <w:rFonts w:cs="Arial"/>
          <w:i/>
          <w:iCs/>
          <w:color w:val="231F20"/>
          <w:szCs w:val="22"/>
        </w:rPr>
        <w:t>Queensland: A Framework for Co-existence</w:t>
      </w:r>
      <w:r w:rsidRPr="00FA644A">
        <w:rPr>
          <w:rFonts w:cs="Arial"/>
          <w:color w:val="231F20"/>
          <w:szCs w:val="22"/>
        </w:rPr>
        <w:t>, Brisbane.</w:t>
      </w:r>
    </w:p>
    <w:p w14:paraId="55AAC71B" w14:textId="77777777" w:rsidR="002278E2" w:rsidRPr="00FA644A" w:rsidRDefault="002278E2" w:rsidP="002278E2">
      <w:pPr>
        <w:autoSpaceDE w:val="0"/>
        <w:autoSpaceDN w:val="0"/>
        <w:adjustRightInd w:val="0"/>
        <w:spacing w:after="0" w:line="240" w:lineRule="auto"/>
        <w:rPr>
          <w:rFonts w:cs="Arial"/>
          <w:color w:val="231F20"/>
          <w:szCs w:val="22"/>
        </w:rPr>
      </w:pPr>
      <w:r w:rsidRPr="00FA644A">
        <w:rPr>
          <w:rFonts w:cs="Arial"/>
          <w:color w:val="231F20"/>
          <w:szCs w:val="22"/>
        </w:rPr>
        <w:t xml:space="preserve">Robins, R., and Fleming, J., 2004, </w:t>
      </w:r>
      <w:r w:rsidRPr="00FA644A">
        <w:rPr>
          <w:rFonts w:cs="Arial"/>
          <w:i/>
          <w:iCs/>
          <w:color w:val="231F20"/>
          <w:szCs w:val="22"/>
        </w:rPr>
        <w:t xml:space="preserve">Managing Risk Ethically, </w:t>
      </w:r>
      <w:r w:rsidRPr="00FA644A">
        <w:rPr>
          <w:rFonts w:cs="Arial"/>
          <w:color w:val="231F20"/>
          <w:szCs w:val="22"/>
        </w:rPr>
        <w:t>Gene Technology Ethics</w:t>
      </w:r>
      <w:r w:rsidR="005D2075" w:rsidRPr="00FA644A">
        <w:rPr>
          <w:rFonts w:cs="Arial"/>
          <w:color w:val="231F20"/>
          <w:szCs w:val="22"/>
        </w:rPr>
        <w:t xml:space="preserve"> </w:t>
      </w:r>
      <w:r w:rsidRPr="00FA644A">
        <w:rPr>
          <w:rFonts w:cs="Arial"/>
          <w:color w:val="231F20"/>
          <w:szCs w:val="22"/>
        </w:rPr>
        <w:t>Committee Discussion Paper.</w:t>
      </w:r>
    </w:p>
    <w:p w14:paraId="46D758FB" w14:textId="77777777" w:rsidR="002278E2" w:rsidRPr="00FA644A" w:rsidRDefault="002278E2" w:rsidP="002278E2">
      <w:pPr>
        <w:autoSpaceDE w:val="0"/>
        <w:autoSpaceDN w:val="0"/>
        <w:adjustRightInd w:val="0"/>
        <w:spacing w:after="0" w:line="240" w:lineRule="auto"/>
        <w:rPr>
          <w:rFonts w:cs="Arial"/>
          <w:color w:val="231F20"/>
          <w:szCs w:val="22"/>
        </w:rPr>
      </w:pPr>
      <w:r w:rsidRPr="00FA644A">
        <w:rPr>
          <w:rFonts w:cs="Arial"/>
          <w:color w:val="231F20"/>
          <w:szCs w:val="22"/>
        </w:rPr>
        <w:t>Salleh, A., 2006, “Organised Irresponsibility: Contradictions in the Australian</w:t>
      </w:r>
      <w:r w:rsidR="005D2075" w:rsidRPr="00FA644A">
        <w:rPr>
          <w:rFonts w:cs="Arial"/>
          <w:color w:val="231F20"/>
          <w:szCs w:val="22"/>
        </w:rPr>
        <w:t xml:space="preserve"> </w:t>
      </w:r>
      <w:r w:rsidRPr="00FA644A">
        <w:rPr>
          <w:rFonts w:cs="Arial"/>
          <w:color w:val="231F20"/>
          <w:szCs w:val="22"/>
        </w:rPr>
        <w:t xml:space="preserve">Government’s Strategy for GM Regulation”, </w:t>
      </w:r>
      <w:r w:rsidRPr="00FA644A">
        <w:rPr>
          <w:rFonts w:cs="Arial"/>
          <w:i/>
          <w:iCs/>
          <w:color w:val="231F20"/>
          <w:szCs w:val="22"/>
        </w:rPr>
        <w:t xml:space="preserve">Environmental Politics, </w:t>
      </w:r>
      <w:r w:rsidRPr="00FA644A">
        <w:rPr>
          <w:rFonts w:cs="Arial"/>
          <w:color w:val="231F20"/>
          <w:szCs w:val="22"/>
        </w:rPr>
        <w:t>No.2, (forthcoming).</w:t>
      </w:r>
    </w:p>
    <w:p w14:paraId="3CBA2F1F" w14:textId="77777777" w:rsidR="002278E2" w:rsidRPr="00FA644A" w:rsidRDefault="002278E2" w:rsidP="002278E2">
      <w:pPr>
        <w:autoSpaceDE w:val="0"/>
        <w:autoSpaceDN w:val="0"/>
        <w:adjustRightInd w:val="0"/>
        <w:spacing w:after="0" w:line="240" w:lineRule="auto"/>
        <w:rPr>
          <w:rFonts w:cs="Arial"/>
          <w:color w:val="231F20"/>
          <w:szCs w:val="22"/>
        </w:rPr>
      </w:pPr>
      <w:r w:rsidRPr="00FA644A">
        <w:rPr>
          <w:rFonts w:cs="Arial"/>
          <w:color w:val="231F20"/>
          <w:szCs w:val="22"/>
        </w:rPr>
        <w:t xml:space="preserve">Senate Community Affairs References Committee, 2000, </w:t>
      </w:r>
      <w:r w:rsidRPr="00FA644A">
        <w:rPr>
          <w:rFonts w:cs="Arial"/>
          <w:i/>
          <w:iCs/>
          <w:color w:val="231F20"/>
          <w:szCs w:val="22"/>
        </w:rPr>
        <w:t>A Cautionary Tale: Fish Don’t</w:t>
      </w:r>
      <w:r w:rsidR="005D2075" w:rsidRPr="00FA644A">
        <w:rPr>
          <w:rFonts w:cs="Arial"/>
          <w:i/>
          <w:iCs/>
          <w:color w:val="231F20"/>
          <w:szCs w:val="22"/>
        </w:rPr>
        <w:t xml:space="preserve"> </w:t>
      </w:r>
      <w:r w:rsidRPr="00FA644A">
        <w:rPr>
          <w:rFonts w:cs="Arial"/>
          <w:i/>
          <w:iCs/>
          <w:color w:val="231F20"/>
          <w:szCs w:val="22"/>
        </w:rPr>
        <w:t xml:space="preserve">Lay Tomatoes, Report on the Gene Technology Bill 2000, </w:t>
      </w:r>
      <w:r w:rsidRPr="00FA644A">
        <w:rPr>
          <w:rFonts w:cs="Arial"/>
          <w:color w:val="231F20"/>
          <w:szCs w:val="22"/>
        </w:rPr>
        <w:t>Commonwealth of Australia,</w:t>
      </w:r>
      <w:r w:rsidR="005D2075" w:rsidRPr="00FA644A">
        <w:rPr>
          <w:rFonts w:cs="Arial"/>
          <w:color w:val="231F20"/>
          <w:szCs w:val="22"/>
        </w:rPr>
        <w:t xml:space="preserve"> </w:t>
      </w:r>
      <w:r w:rsidRPr="00FA644A">
        <w:rPr>
          <w:rFonts w:cs="Arial"/>
          <w:color w:val="231F20"/>
          <w:szCs w:val="22"/>
        </w:rPr>
        <w:t>Canberra.</w:t>
      </w:r>
    </w:p>
    <w:p w14:paraId="3A78C007" w14:textId="77777777" w:rsidR="002278E2" w:rsidRPr="00FA644A" w:rsidRDefault="002278E2" w:rsidP="002278E2">
      <w:pPr>
        <w:autoSpaceDE w:val="0"/>
        <w:autoSpaceDN w:val="0"/>
        <w:adjustRightInd w:val="0"/>
        <w:spacing w:after="0" w:line="240" w:lineRule="auto"/>
        <w:rPr>
          <w:rFonts w:cs="Arial"/>
          <w:color w:val="231F20"/>
          <w:szCs w:val="22"/>
        </w:rPr>
      </w:pPr>
      <w:r w:rsidRPr="00FA644A">
        <w:rPr>
          <w:rFonts w:cs="Arial"/>
          <w:color w:val="231F20"/>
          <w:szCs w:val="22"/>
        </w:rPr>
        <w:t>Shrader-Frechette, K., 1990, “Ethics and Risk-</w:t>
      </w:r>
      <w:r w:rsidR="005D2075" w:rsidRPr="00FA644A">
        <w:rPr>
          <w:rFonts w:cs="Arial"/>
          <w:color w:val="231F20"/>
          <w:szCs w:val="22"/>
        </w:rPr>
        <w:t>Benefit</w:t>
      </w:r>
      <w:r w:rsidRPr="00FA644A">
        <w:rPr>
          <w:rFonts w:cs="Arial"/>
          <w:color w:val="231F20"/>
          <w:szCs w:val="22"/>
        </w:rPr>
        <w:t xml:space="preserve"> Analysis”, in </w:t>
      </w:r>
      <w:r w:rsidRPr="00FA644A">
        <w:rPr>
          <w:rFonts w:cs="Arial"/>
          <w:i/>
          <w:iCs/>
          <w:color w:val="231F20"/>
          <w:szCs w:val="22"/>
        </w:rPr>
        <w:t>Perspectives on the</w:t>
      </w:r>
      <w:r w:rsidR="005D2075" w:rsidRPr="00FA644A">
        <w:rPr>
          <w:rFonts w:cs="Arial"/>
          <w:i/>
          <w:iCs/>
          <w:color w:val="231F20"/>
          <w:szCs w:val="22"/>
        </w:rPr>
        <w:t xml:space="preserve"> </w:t>
      </w:r>
      <w:r w:rsidRPr="00FA644A">
        <w:rPr>
          <w:rFonts w:cs="Arial"/>
          <w:i/>
          <w:iCs/>
          <w:color w:val="231F20"/>
          <w:szCs w:val="22"/>
        </w:rPr>
        <w:t>Professions</w:t>
      </w:r>
      <w:r w:rsidRPr="00FA644A">
        <w:rPr>
          <w:rFonts w:cs="Arial"/>
          <w:color w:val="231F20"/>
          <w:szCs w:val="22"/>
        </w:rPr>
        <w:t>,</w:t>
      </w:r>
      <w:r w:rsidR="005D2075" w:rsidRPr="00FA644A">
        <w:rPr>
          <w:rFonts w:cs="Arial"/>
          <w:color w:val="231F20"/>
          <w:szCs w:val="22"/>
        </w:rPr>
        <w:t xml:space="preserve"> </w:t>
      </w:r>
      <w:r w:rsidRPr="00FA644A">
        <w:rPr>
          <w:rFonts w:cs="Arial"/>
          <w:color w:val="231F20"/>
          <w:szCs w:val="22"/>
        </w:rPr>
        <w:t xml:space="preserve">Vol.9, No.2, </w:t>
      </w:r>
      <w:proofErr w:type="spellStart"/>
      <w:r w:rsidRPr="00FA644A">
        <w:rPr>
          <w:rFonts w:cs="Arial"/>
          <w:color w:val="231F20"/>
          <w:szCs w:val="22"/>
        </w:rPr>
        <w:t>Center</w:t>
      </w:r>
      <w:proofErr w:type="spellEnd"/>
      <w:r w:rsidRPr="00FA644A">
        <w:rPr>
          <w:rFonts w:cs="Arial"/>
          <w:color w:val="231F20"/>
          <w:szCs w:val="22"/>
        </w:rPr>
        <w:t xml:space="preserve"> for the Study of Ethics in the Professions, Illinois</w:t>
      </w:r>
      <w:r w:rsidR="005D2075" w:rsidRPr="00FA644A">
        <w:rPr>
          <w:rFonts w:cs="Arial"/>
          <w:color w:val="231F20"/>
          <w:szCs w:val="22"/>
        </w:rPr>
        <w:t xml:space="preserve"> </w:t>
      </w:r>
      <w:r w:rsidRPr="00FA644A">
        <w:rPr>
          <w:rFonts w:cs="Arial"/>
          <w:color w:val="231F20"/>
          <w:szCs w:val="22"/>
        </w:rPr>
        <w:t>Institute of Technology, Chicago.</w:t>
      </w:r>
    </w:p>
    <w:p w14:paraId="4BE985A5" w14:textId="77777777" w:rsidR="002278E2" w:rsidRPr="00FA644A" w:rsidRDefault="002278E2" w:rsidP="002278E2">
      <w:pPr>
        <w:autoSpaceDE w:val="0"/>
        <w:autoSpaceDN w:val="0"/>
        <w:adjustRightInd w:val="0"/>
        <w:spacing w:after="0" w:line="240" w:lineRule="auto"/>
        <w:rPr>
          <w:rFonts w:cs="Arial"/>
          <w:color w:val="231F20"/>
          <w:szCs w:val="22"/>
        </w:rPr>
      </w:pPr>
      <w:r w:rsidRPr="00FA644A">
        <w:rPr>
          <w:rFonts w:cs="Arial"/>
          <w:color w:val="231F20"/>
          <w:szCs w:val="22"/>
        </w:rPr>
        <w:t>Smith, J., 2003, The Precautionary Principle and Public Interest, paper presented</w:t>
      </w:r>
      <w:r w:rsidR="005D2075" w:rsidRPr="00FA644A">
        <w:rPr>
          <w:rFonts w:cs="Arial"/>
          <w:color w:val="231F20"/>
          <w:szCs w:val="22"/>
        </w:rPr>
        <w:t xml:space="preserve"> </w:t>
      </w:r>
      <w:r w:rsidRPr="00FA644A">
        <w:rPr>
          <w:rFonts w:cs="Arial"/>
          <w:color w:val="231F20"/>
          <w:szCs w:val="22"/>
        </w:rPr>
        <w:t>at The Australian Centre for Environmental Law Conference “The Precautionary</w:t>
      </w:r>
      <w:r w:rsidR="005D2075" w:rsidRPr="00FA644A">
        <w:rPr>
          <w:rFonts w:cs="Arial"/>
          <w:color w:val="231F20"/>
          <w:szCs w:val="22"/>
        </w:rPr>
        <w:t xml:space="preserve"> </w:t>
      </w:r>
      <w:r w:rsidRPr="00FA644A">
        <w:rPr>
          <w:rFonts w:cs="Arial"/>
          <w:color w:val="231F20"/>
          <w:szCs w:val="22"/>
        </w:rPr>
        <w:t xml:space="preserve">Principle in Environmental Regulation: 10 Years </w:t>
      </w:r>
      <w:r w:rsidR="005D2075" w:rsidRPr="00FA644A">
        <w:rPr>
          <w:rFonts w:cs="Arial"/>
          <w:color w:val="231F20"/>
          <w:szCs w:val="22"/>
        </w:rPr>
        <w:t>since</w:t>
      </w:r>
      <w:r w:rsidRPr="00FA644A">
        <w:rPr>
          <w:rFonts w:cs="Arial"/>
          <w:color w:val="231F20"/>
          <w:szCs w:val="22"/>
        </w:rPr>
        <w:t xml:space="preserve"> </w:t>
      </w:r>
      <w:proofErr w:type="spellStart"/>
      <w:r w:rsidRPr="00FA644A">
        <w:rPr>
          <w:rFonts w:cs="Arial"/>
          <w:color w:val="231F20"/>
          <w:szCs w:val="22"/>
        </w:rPr>
        <w:t>Leatch</w:t>
      </w:r>
      <w:proofErr w:type="spellEnd"/>
      <w:r w:rsidRPr="00FA644A">
        <w:rPr>
          <w:rFonts w:cs="Arial"/>
          <w:color w:val="231F20"/>
          <w:szCs w:val="22"/>
        </w:rPr>
        <w:t>”, Canberra, November.</w:t>
      </w:r>
    </w:p>
    <w:p w14:paraId="4B77D86F" w14:textId="77777777" w:rsidR="002278E2" w:rsidRPr="00FA644A" w:rsidRDefault="002278E2" w:rsidP="002278E2">
      <w:pPr>
        <w:autoSpaceDE w:val="0"/>
        <w:autoSpaceDN w:val="0"/>
        <w:adjustRightInd w:val="0"/>
        <w:spacing w:after="0" w:line="240" w:lineRule="auto"/>
        <w:rPr>
          <w:rFonts w:cs="Arial"/>
          <w:color w:val="231F20"/>
          <w:szCs w:val="22"/>
        </w:rPr>
      </w:pPr>
      <w:r w:rsidRPr="00FA644A">
        <w:rPr>
          <w:rFonts w:cs="Arial"/>
          <w:color w:val="231F20"/>
          <w:szCs w:val="22"/>
        </w:rPr>
        <w:t>Spry, M., 1997, Hinchinbrook Island and the Precautionary Principle in Australian</w:t>
      </w:r>
      <w:r w:rsidR="005D2075" w:rsidRPr="00FA644A">
        <w:rPr>
          <w:rFonts w:cs="Arial"/>
          <w:color w:val="231F20"/>
          <w:szCs w:val="22"/>
        </w:rPr>
        <w:t xml:space="preserve"> </w:t>
      </w:r>
      <w:r w:rsidRPr="00FA644A">
        <w:rPr>
          <w:rFonts w:cs="Arial"/>
          <w:color w:val="231F20"/>
          <w:szCs w:val="22"/>
        </w:rPr>
        <w:t>Environmental</w:t>
      </w:r>
      <w:r w:rsidR="005D2075" w:rsidRPr="00FA644A">
        <w:rPr>
          <w:rFonts w:cs="Arial"/>
          <w:color w:val="231F20"/>
          <w:szCs w:val="22"/>
        </w:rPr>
        <w:t xml:space="preserve"> </w:t>
      </w:r>
      <w:r w:rsidRPr="00FA644A">
        <w:rPr>
          <w:rFonts w:cs="Arial"/>
          <w:color w:val="231F20"/>
          <w:szCs w:val="22"/>
        </w:rPr>
        <w:t>Law, Politics and Public Administration Group, Research Note 4.</w:t>
      </w:r>
    </w:p>
    <w:p w14:paraId="3BB5BEEB" w14:textId="77777777" w:rsidR="005D2075" w:rsidRPr="00FA644A" w:rsidRDefault="005D2075">
      <w:pPr>
        <w:rPr>
          <w:rFonts w:cs="Arial"/>
          <w:szCs w:val="22"/>
        </w:rPr>
      </w:pPr>
      <w:r w:rsidRPr="00FA644A">
        <w:rPr>
          <w:rFonts w:cs="Arial"/>
          <w:szCs w:val="22"/>
        </w:rPr>
        <w:br w:type="page"/>
      </w:r>
    </w:p>
    <w:p w14:paraId="466A0D18" w14:textId="6354A081" w:rsidR="005D2075" w:rsidRPr="00FA644A" w:rsidRDefault="00E672EA" w:rsidP="00FA644A">
      <w:pPr>
        <w:pStyle w:val="Heading1"/>
      </w:pPr>
      <w:bookmarkStart w:id="77" w:name="_Toc95326311"/>
      <w:r w:rsidRPr="00FA644A">
        <w:lastRenderedPageBreak/>
        <w:t>Appendix 1</w:t>
      </w:r>
      <w:bookmarkEnd w:id="77"/>
    </w:p>
    <w:p w14:paraId="2A6BCD09" w14:textId="77777777" w:rsidR="005D2075" w:rsidRPr="00FA644A" w:rsidRDefault="005D2075" w:rsidP="00FA644A">
      <w:pPr>
        <w:pStyle w:val="Heading2"/>
      </w:pPr>
      <w:bookmarkStart w:id="78" w:name="_Toc95326312"/>
      <w:r w:rsidRPr="00FA644A">
        <w:t>Membership of the Panel</w:t>
      </w:r>
      <w:bookmarkEnd w:id="78"/>
    </w:p>
    <w:p w14:paraId="5F3C28B6" w14:textId="77777777" w:rsidR="005D2075" w:rsidRPr="001104BF" w:rsidRDefault="005D2075" w:rsidP="001104BF">
      <w:r w:rsidRPr="00EA14FC">
        <w:rPr>
          <w:b/>
          <w:bCs/>
        </w:rPr>
        <w:t xml:space="preserve">Ms Susan </w:t>
      </w:r>
      <w:proofErr w:type="spellStart"/>
      <w:r w:rsidRPr="00EA14FC">
        <w:rPr>
          <w:b/>
          <w:bCs/>
        </w:rPr>
        <w:t>Timbs</w:t>
      </w:r>
      <w:proofErr w:type="spellEnd"/>
      <w:r w:rsidRPr="001104BF">
        <w:t xml:space="preserve"> BCom LLB (Hons) (Panel Chair) is a solicitor specialising in</w:t>
      </w:r>
      <w:r w:rsidR="005758CD" w:rsidRPr="001104BF">
        <w:t xml:space="preserve"> </w:t>
      </w:r>
      <w:r w:rsidRPr="001104BF">
        <w:t xml:space="preserve">environment and planning law. Ms </w:t>
      </w:r>
      <w:proofErr w:type="spellStart"/>
      <w:r w:rsidRPr="001104BF">
        <w:t>Timbs</w:t>
      </w:r>
      <w:proofErr w:type="spellEnd"/>
      <w:r w:rsidRPr="001104BF">
        <w:t>, a former Partner of Corrs Chambers</w:t>
      </w:r>
      <w:r w:rsidR="005758CD" w:rsidRPr="001104BF">
        <w:t xml:space="preserve"> </w:t>
      </w:r>
      <w:r w:rsidRPr="001104BF">
        <w:t>Westgarth, is a Senior Consultant in the National Environment and Planning Group</w:t>
      </w:r>
      <w:r w:rsidR="005758CD" w:rsidRPr="001104BF">
        <w:t xml:space="preserve"> </w:t>
      </w:r>
      <w:r w:rsidRPr="001104BF">
        <w:t xml:space="preserve">of Mallesons Stephen </w:t>
      </w:r>
      <w:proofErr w:type="spellStart"/>
      <w:r w:rsidRPr="001104BF">
        <w:t>Jaques</w:t>
      </w:r>
      <w:proofErr w:type="spellEnd"/>
      <w:r w:rsidRPr="001104BF">
        <w:t xml:space="preserve"> and headed the Brisbane Environment and Planning</w:t>
      </w:r>
      <w:r w:rsidR="005758CD" w:rsidRPr="001104BF">
        <w:t xml:space="preserve"> </w:t>
      </w:r>
      <w:r w:rsidRPr="001104BF">
        <w:t>Group until 2002 while responsible for clients operating across Australia.</w:t>
      </w:r>
    </w:p>
    <w:p w14:paraId="21F2A569" w14:textId="77777777" w:rsidR="005D2075" w:rsidRPr="001104BF" w:rsidRDefault="005D2075" w:rsidP="001104BF">
      <w:r w:rsidRPr="001104BF">
        <w:t xml:space="preserve">More recently, Ms </w:t>
      </w:r>
      <w:proofErr w:type="spellStart"/>
      <w:r w:rsidRPr="001104BF">
        <w:t>Timbs</w:t>
      </w:r>
      <w:proofErr w:type="spellEnd"/>
      <w:r w:rsidRPr="001104BF">
        <w:t xml:space="preserve"> has been on leave from Mallesons Stephen </w:t>
      </w:r>
      <w:proofErr w:type="spellStart"/>
      <w:r w:rsidRPr="001104BF">
        <w:t>Jaques</w:t>
      </w:r>
      <w:proofErr w:type="spellEnd"/>
      <w:r w:rsidRPr="001104BF">
        <w:t xml:space="preserve"> working</w:t>
      </w:r>
      <w:r w:rsidR="005758CD" w:rsidRPr="001104BF">
        <w:t xml:space="preserve"> </w:t>
      </w:r>
      <w:r w:rsidRPr="001104BF">
        <w:t xml:space="preserve">in a </w:t>
      </w:r>
      <w:proofErr w:type="gramStart"/>
      <w:r w:rsidRPr="001104BF">
        <w:t>health related</w:t>
      </w:r>
      <w:proofErr w:type="gramEnd"/>
      <w:r w:rsidRPr="001104BF">
        <w:t xml:space="preserve"> public policy area as National Policy Manager of Breast Cancer</w:t>
      </w:r>
      <w:r w:rsidR="005758CD" w:rsidRPr="001104BF">
        <w:t xml:space="preserve"> </w:t>
      </w:r>
      <w:r w:rsidRPr="001104BF">
        <w:t>Network Australia.</w:t>
      </w:r>
    </w:p>
    <w:p w14:paraId="16CB3CF5" w14:textId="77777777" w:rsidR="005D2075" w:rsidRPr="001104BF" w:rsidRDefault="005D2075" w:rsidP="001104BF">
      <w:r w:rsidRPr="00EA14FC">
        <w:rPr>
          <w:b/>
          <w:bCs/>
        </w:rPr>
        <w:t>Ms Kathryn Adams</w:t>
      </w:r>
      <w:r w:rsidRPr="001104BF">
        <w:t xml:space="preserve"> LLM, M Env Stud, M Bus, BSc </w:t>
      </w:r>
      <w:proofErr w:type="spellStart"/>
      <w:r w:rsidRPr="001104BF">
        <w:t>Agr</w:t>
      </w:r>
      <w:proofErr w:type="spellEnd"/>
      <w:r w:rsidRPr="001104BF">
        <w:t xml:space="preserve"> (Hons), FAICD (Panel Member)</w:t>
      </w:r>
      <w:r w:rsidR="005758CD" w:rsidRPr="001104BF">
        <w:t xml:space="preserve"> </w:t>
      </w:r>
      <w:r w:rsidRPr="001104BF">
        <w:t xml:space="preserve">is a microbiologist and a lawyer with extensive experience in plant breeding, </w:t>
      </w:r>
      <w:proofErr w:type="gramStart"/>
      <w:r w:rsidRPr="001104BF">
        <w:t>research</w:t>
      </w:r>
      <w:proofErr w:type="gramEnd"/>
      <w:r w:rsidR="005758CD" w:rsidRPr="001104BF">
        <w:t xml:space="preserve"> </w:t>
      </w:r>
      <w:r w:rsidRPr="001104BF">
        <w:t>and development in agriculture. She is currently a Senior Research Fellow at the</w:t>
      </w:r>
      <w:r w:rsidR="005758CD" w:rsidRPr="001104BF">
        <w:t xml:space="preserve"> </w:t>
      </w:r>
      <w:r w:rsidRPr="001104BF">
        <w:t>Centre for Intellectual Property in Agriculture, Faculty of Law, Griffith University</w:t>
      </w:r>
      <w:r w:rsidR="005758CD" w:rsidRPr="001104BF">
        <w:t xml:space="preserve"> </w:t>
      </w:r>
      <w:r w:rsidRPr="001104BF">
        <w:t>and a Mediator, Arbitrator and Dispute Resolution Facilitator. Previously she was</w:t>
      </w:r>
      <w:r w:rsidR="005758CD" w:rsidRPr="001104BF">
        <w:t xml:space="preserve"> </w:t>
      </w:r>
      <w:r w:rsidRPr="001104BF">
        <w:t>the Executive Director of both Policy and Planning Divisions in the Queensland</w:t>
      </w:r>
      <w:r w:rsidR="005758CD" w:rsidRPr="001104BF">
        <w:t xml:space="preserve"> </w:t>
      </w:r>
      <w:r w:rsidRPr="001104BF">
        <w:t>Environmental Protection Agency.</w:t>
      </w:r>
    </w:p>
    <w:p w14:paraId="08C9460C" w14:textId="77777777" w:rsidR="005D2075" w:rsidRPr="001104BF" w:rsidRDefault="005D2075" w:rsidP="001104BF">
      <w:r w:rsidRPr="00EA14FC">
        <w:rPr>
          <w:b/>
          <w:bCs/>
        </w:rPr>
        <w:t>Mr W. Murray Rogers</w:t>
      </w:r>
      <w:r w:rsidRPr="001104BF">
        <w:t xml:space="preserve"> AM (Panel Member) is the Chair of the Quarantine and</w:t>
      </w:r>
      <w:r w:rsidR="005758CD" w:rsidRPr="001104BF">
        <w:t xml:space="preserve"> </w:t>
      </w:r>
      <w:r w:rsidRPr="001104BF">
        <w:t>Exports Advisory Council and a member of the Agriculture and Food Policy Reference</w:t>
      </w:r>
      <w:r w:rsidR="005758CD" w:rsidRPr="001104BF">
        <w:t xml:space="preserve"> </w:t>
      </w:r>
      <w:r w:rsidRPr="001104BF">
        <w:t>Group which is developing broad recommendations to improve the profitability,</w:t>
      </w:r>
      <w:r w:rsidR="005758CD" w:rsidRPr="001104BF">
        <w:t xml:space="preserve"> </w:t>
      </w:r>
      <w:r w:rsidRPr="001104BF">
        <w:t>competitiveness, and sustainability of the Australian agricultural and food sector.</w:t>
      </w:r>
    </w:p>
    <w:p w14:paraId="4DD04A1F" w14:textId="77777777" w:rsidR="005D2075" w:rsidRPr="001104BF" w:rsidRDefault="005D2075" w:rsidP="001104BF">
      <w:r w:rsidRPr="001104BF">
        <w:t>He has had a distinguished career with Kellogg’s, both in Australia and overseas, and</w:t>
      </w:r>
      <w:r w:rsidR="005758CD" w:rsidRPr="001104BF">
        <w:t xml:space="preserve"> </w:t>
      </w:r>
      <w:r w:rsidRPr="001104BF">
        <w:t>was Managin</w:t>
      </w:r>
      <w:r w:rsidR="005758CD" w:rsidRPr="001104BF">
        <w:t>g Director/Chief Executive Offi</w:t>
      </w:r>
      <w:r w:rsidRPr="001104BF">
        <w:t>cer of the Australian Wheat Board/AWB</w:t>
      </w:r>
      <w:r w:rsidR="005758CD" w:rsidRPr="001104BF">
        <w:t xml:space="preserve"> </w:t>
      </w:r>
      <w:r w:rsidRPr="001104BF">
        <w:t>Limited between 1997 and 2000. Mr Rogers is a Fellow of the Australian Institute of</w:t>
      </w:r>
      <w:r w:rsidR="005758CD" w:rsidRPr="001104BF">
        <w:t xml:space="preserve"> </w:t>
      </w:r>
      <w:r w:rsidRPr="001104BF">
        <w:t>Company Directors and a Fellow of the Australian Institute of Management.</w:t>
      </w:r>
    </w:p>
    <w:p w14:paraId="2099DB4A" w14:textId="77777777" w:rsidR="005758CD" w:rsidRDefault="005758CD">
      <w:pPr>
        <w:rPr>
          <w:rFonts w:asciiTheme="minorHAnsi" w:hAnsiTheme="minorHAnsi" w:cstheme="minorHAnsi"/>
          <w:color w:val="231F20"/>
          <w:szCs w:val="22"/>
        </w:rPr>
      </w:pPr>
      <w:r>
        <w:rPr>
          <w:rFonts w:asciiTheme="minorHAnsi" w:hAnsiTheme="minorHAnsi" w:cstheme="minorHAnsi"/>
          <w:color w:val="231F20"/>
          <w:szCs w:val="22"/>
        </w:rPr>
        <w:br w:type="page"/>
      </w:r>
    </w:p>
    <w:p w14:paraId="497E674C" w14:textId="6CCA31BA" w:rsidR="003E3578" w:rsidRPr="003E3578" w:rsidRDefault="00E672EA" w:rsidP="00EB35D4">
      <w:pPr>
        <w:pStyle w:val="Heading1"/>
      </w:pPr>
      <w:bookmarkStart w:id="79" w:name="_Toc95326313"/>
      <w:r w:rsidRPr="003E3578">
        <w:lastRenderedPageBreak/>
        <w:t>Appendix 2</w:t>
      </w:r>
      <w:bookmarkEnd w:id="79"/>
    </w:p>
    <w:p w14:paraId="114D980B" w14:textId="77777777" w:rsidR="003E3578" w:rsidRPr="00EB35D4" w:rsidRDefault="003E3578" w:rsidP="00EB35D4">
      <w:pPr>
        <w:pStyle w:val="Heading2"/>
      </w:pPr>
      <w:bookmarkStart w:id="80" w:name="_Toc95326314"/>
      <w:r w:rsidRPr="00EB35D4">
        <w:t>Organisations and individuals who presented written public submissions</w:t>
      </w:r>
      <w:bookmarkEnd w:id="80"/>
    </w:p>
    <w:p w14:paraId="57BB201C" w14:textId="77777777" w:rsidR="003E3578" w:rsidRPr="00EB35D4" w:rsidRDefault="003E3578" w:rsidP="009F018E">
      <w:pPr>
        <w:pStyle w:val="ListParagraph"/>
        <w:numPr>
          <w:ilvl w:val="0"/>
          <w:numId w:val="29"/>
        </w:numPr>
        <w:ind w:left="851" w:hanging="851"/>
      </w:pPr>
      <w:r w:rsidRPr="00EB35D4">
        <w:t xml:space="preserve">Nick </w:t>
      </w:r>
      <w:proofErr w:type="spellStart"/>
      <w:r w:rsidRPr="00EB35D4">
        <w:t>Pastalatzis</w:t>
      </w:r>
      <w:proofErr w:type="spellEnd"/>
      <w:r w:rsidRPr="00EB35D4">
        <w:t>, West Sunshine, VIC</w:t>
      </w:r>
    </w:p>
    <w:p w14:paraId="40CBC171" w14:textId="77777777" w:rsidR="003E3578" w:rsidRPr="00EB35D4" w:rsidRDefault="003E3578" w:rsidP="009F018E">
      <w:pPr>
        <w:pStyle w:val="ListParagraph"/>
        <w:numPr>
          <w:ilvl w:val="0"/>
          <w:numId w:val="29"/>
        </w:numPr>
        <w:ind w:left="851" w:hanging="851"/>
      </w:pPr>
      <w:r w:rsidRPr="00EB35D4">
        <w:t xml:space="preserve">Associate Professor Renato </w:t>
      </w:r>
      <w:proofErr w:type="spellStart"/>
      <w:r w:rsidRPr="00EB35D4">
        <w:t>Schibeci</w:t>
      </w:r>
      <w:proofErr w:type="spellEnd"/>
      <w:r w:rsidRPr="00EB35D4">
        <w:t>, Murdoch University, WA</w:t>
      </w:r>
    </w:p>
    <w:p w14:paraId="63C8DBC6" w14:textId="77777777" w:rsidR="003E3578" w:rsidRPr="00EB35D4" w:rsidRDefault="003E3578" w:rsidP="009F018E">
      <w:pPr>
        <w:pStyle w:val="ListParagraph"/>
        <w:numPr>
          <w:ilvl w:val="0"/>
          <w:numId w:val="29"/>
        </w:numPr>
        <w:ind w:left="851" w:hanging="851"/>
      </w:pPr>
      <w:r w:rsidRPr="00EB35D4">
        <w:t>Margaret L. Seedsman, Clematis, VIC</w:t>
      </w:r>
    </w:p>
    <w:p w14:paraId="2BA41EF6" w14:textId="77777777" w:rsidR="003E3578" w:rsidRPr="00EB35D4" w:rsidRDefault="003E3578" w:rsidP="009F018E">
      <w:pPr>
        <w:pStyle w:val="ListParagraph"/>
        <w:numPr>
          <w:ilvl w:val="0"/>
          <w:numId w:val="29"/>
        </w:numPr>
        <w:ind w:left="851" w:hanging="851"/>
      </w:pPr>
      <w:r w:rsidRPr="00EB35D4">
        <w:t>Cotton Seed Distributors Ltd, Wee Waa, NSW</w:t>
      </w:r>
    </w:p>
    <w:p w14:paraId="524489A6" w14:textId="77777777" w:rsidR="003E3578" w:rsidRPr="00EB35D4" w:rsidRDefault="003E3578" w:rsidP="009F018E">
      <w:pPr>
        <w:pStyle w:val="ListParagraph"/>
        <w:numPr>
          <w:ilvl w:val="0"/>
          <w:numId w:val="29"/>
        </w:numPr>
        <w:ind w:left="851" w:hanging="851"/>
      </w:pPr>
      <w:r w:rsidRPr="00EB35D4">
        <w:t>Mudgee District Environment Group, Mudgee NSW</w:t>
      </w:r>
    </w:p>
    <w:p w14:paraId="2A618DAE" w14:textId="77777777" w:rsidR="003E3578" w:rsidRPr="00EB35D4" w:rsidRDefault="003E3578" w:rsidP="009F018E">
      <w:pPr>
        <w:pStyle w:val="ListParagraph"/>
        <w:numPr>
          <w:ilvl w:val="0"/>
          <w:numId w:val="29"/>
        </w:numPr>
        <w:ind w:left="851" w:hanging="851"/>
      </w:pPr>
      <w:r w:rsidRPr="00EB35D4">
        <w:t>Householders’ Options to Protect the Environment, Toowoomba West, QLD</w:t>
      </w:r>
    </w:p>
    <w:p w14:paraId="7B852705" w14:textId="77777777" w:rsidR="003E3578" w:rsidRPr="00EB35D4" w:rsidRDefault="003E3578" w:rsidP="009F018E">
      <w:pPr>
        <w:pStyle w:val="ListParagraph"/>
        <w:numPr>
          <w:ilvl w:val="0"/>
          <w:numId w:val="29"/>
        </w:numPr>
        <w:ind w:left="851" w:hanging="851"/>
      </w:pPr>
      <w:r w:rsidRPr="00EB35D4">
        <w:t>Professor Lawrence Cram, The Australian National University, ACT</w:t>
      </w:r>
    </w:p>
    <w:p w14:paraId="3E36F0B7" w14:textId="77777777" w:rsidR="003E3578" w:rsidRPr="00EB35D4" w:rsidRDefault="003E3578" w:rsidP="009F018E">
      <w:pPr>
        <w:pStyle w:val="ListParagraph"/>
        <w:numPr>
          <w:ilvl w:val="0"/>
          <w:numId w:val="29"/>
        </w:numPr>
        <w:ind w:left="851" w:hanging="851"/>
      </w:pPr>
      <w:r w:rsidRPr="00EB35D4">
        <w:t>Cheryl &amp; Stephen Dooley, Glenreagh, NSW</w:t>
      </w:r>
    </w:p>
    <w:p w14:paraId="5CBD66BC" w14:textId="77777777" w:rsidR="003E3578" w:rsidRPr="00EB35D4" w:rsidRDefault="003E3578" w:rsidP="009F018E">
      <w:pPr>
        <w:pStyle w:val="ListParagraph"/>
        <w:numPr>
          <w:ilvl w:val="0"/>
          <w:numId w:val="29"/>
        </w:numPr>
        <w:ind w:left="851" w:hanging="851"/>
      </w:pPr>
      <w:r w:rsidRPr="00EB35D4">
        <w:t>Greg Seedsman, VIC</w:t>
      </w:r>
    </w:p>
    <w:p w14:paraId="691B145C" w14:textId="77777777" w:rsidR="003E3578" w:rsidRPr="00EB35D4" w:rsidRDefault="003E3578" w:rsidP="009F018E">
      <w:pPr>
        <w:pStyle w:val="ListParagraph"/>
        <w:numPr>
          <w:ilvl w:val="0"/>
          <w:numId w:val="29"/>
        </w:numPr>
        <w:ind w:left="851" w:hanging="851"/>
      </w:pPr>
      <w:r w:rsidRPr="00EB35D4">
        <w:t>Vanessa Errol, Como, WA</w:t>
      </w:r>
    </w:p>
    <w:p w14:paraId="4EE8F400" w14:textId="77777777" w:rsidR="003E3578" w:rsidRPr="00EB35D4" w:rsidRDefault="003E3578" w:rsidP="009F018E">
      <w:pPr>
        <w:pStyle w:val="ListParagraph"/>
        <w:numPr>
          <w:ilvl w:val="0"/>
          <w:numId w:val="29"/>
        </w:numPr>
        <w:ind w:left="851" w:hanging="851"/>
      </w:pPr>
      <w:r w:rsidRPr="00EB35D4">
        <w:t xml:space="preserve">Cate </w:t>
      </w:r>
      <w:proofErr w:type="spellStart"/>
      <w:r w:rsidRPr="00EB35D4">
        <w:t>Kyne</w:t>
      </w:r>
      <w:proofErr w:type="spellEnd"/>
      <w:r w:rsidRPr="00EB35D4">
        <w:t>, State unknown</w:t>
      </w:r>
    </w:p>
    <w:p w14:paraId="59E57106" w14:textId="77777777" w:rsidR="003E3578" w:rsidRPr="00EB35D4" w:rsidRDefault="003E3578" w:rsidP="009F018E">
      <w:pPr>
        <w:pStyle w:val="ListParagraph"/>
        <w:numPr>
          <w:ilvl w:val="0"/>
          <w:numId w:val="29"/>
        </w:numPr>
        <w:ind w:left="851" w:hanging="851"/>
      </w:pPr>
      <w:r w:rsidRPr="00EB35D4">
        <w:t>NSW Farmers’ Association, Sydney, NSW</w:t>
      </w:r>
    </w:p>
    <w:p w14:paraId="522DE8E4" w14:textId="77777777" w:rsidR="003E3578" w:rsidRPr="00EB35D4" w:rsidRDefault="003E3578" w:rsidP="009F018E">
      <w:pPr>
        <w:pStyle w:val="ListParagraph"/>
        <w:numPr>
          <w:ilvl w:val="0"/>
          <w:numId w:val="29"/>
        </w:numPr>
        <w:ind w:left="851" w:hanging="851"/>
      </w:pPr>
      <w:r w:rsidRPr="00EB35D4">
        <w:t xml:space="preserve">Sally </w:t>
      </w:r>
      <w:proofErr w:type="spellStart"/>
      <w:r w:rsidRPr="00EB35D4">
        <w:t>Mathrick</w:t>
      </w:r>
      <w:proofErr w:type="spellEnd"/>
      <w:r w:rsidRPr="00EB35D4">
        <w:t>, Sound Medicine, NSW</w:t>
      </w:r>
    </w:p>
    <w:p w14:paraId="464C5A61" w14:textId="77777777" w:rsidR="003E3578" w:rsidRPr="00EB35D4" w:rsidRDefault="003E3578" w:rsidP="009F018E">
      <w:pPr>
        <w:pStyle w:val="ListParagraph"/>
        <w:numPr>
          <w:ilvl w:val="0"/>
          <w:numId w:val="29"/>
        </w:numPr>
        <w:ind w:left="851" w:hanging="851"/>
      </w:pPr>
      <w:r w:rsidRPr="00EB35D4">
        <w:t>Dr Susan Maastricht, Children’s Cancer Institute Australia, Randwick, NSW</w:t>
      </w:r>
    </w:p>
    <w:p w14:paraId="7A341620" w14:textId="77777777" w:rsidR="003E3578" w:rsidRPr="00EB35D4" w:rsidRDefault="003E3578" w:rsidP="009F018E">
      <w:pPr>
        <w:pStyle w:val="ListParagraph"/>
        <w:numPr>
          <w:ilvl w:val="0"/>
          <w:numId w:val="29"/>
        </w:numPr>
        <w:ind w:left="851" w:hanging="851"/>
      </w:pPr>
      <w:r w:rsidRPr="00EB35D4">
        <w:t>Institutional Biosafety Committee, University of Queensland, QLD</w:t>
      </w:r>
    </w:p>
    <w:p w14:paraId="3B41B021" w14:textId="77777777" w:rsidR="003E3578" w:rsidRPr="00EB35D4" w:rsidRDefault="003E3578" w:rsidP="009F018E">
      <w:pPr>
        <w:pStyle w:val="ListParagraph"/>
        <w:numPr>
          <w:ilvl w:val="0"/>
          <w:numId w:val="29"/>
        </w:numPr>
        <w:ind w:left="851" w:hanging="851"/>
      </w:pPr>
      <w:r w:rsidRPr="00EB35D4">
        <w:t>Samantha Dunn, Selby, VIC</w:t>
      </w:r>
    </w:p>
    <w:p w14:paraId="620EA80B" w14:textId="77777777" w:rsidR="0077009D" w:rsidRPr="00EB35D4" w:rsidRDefault="003E3578" w:rsidP="009F018E">
      <w:pPr>
        <w:pStyle w:val="ListParagraph"/>
        <w:numPr>
          <w:ilvl w:val="0"/>
          <w:numId w:val="29"/>
        </w:numPr>
        <w:ind w:left="851" w:hanging="851"/>
      </w:pPr>
      <w:r w:rsidRPr="00EB35D4">
        <w:t>The Western Australian Farmers Federation, Perth WA</w:t>
      </w:r>
    </w:p>
    <w:p w14:paraId="6751A7D4" w14:textId="77777777" w:rsidR="003E3578" w:rsidRPr="00EB35D4" w:rsidRDefault="0077009D" w:rsidP="009F018E">
      <w:pPr>
        <w:pStyle w:val="ListParagraph"/>
        <w:numPr>
          <w:ilvl w:val="0"/>
          <w:numId w:val="29"/>
        </w:numPr>
        <w:ind w:left="851" w:hanging="851"/>
      </w:pPr>
      <w:r w:rsidRPr="00EB35D4">
        <w:t>M</w:t>
      </w:r>
      <w:r w:rsidR="003E3578" w:rsidRPr="00EB35D4">
        <w:t xml:space="preserve">argaret Hartley, </w:t>
      </w:r>
      <w:proofErr w:type="spellStart"/>
      <w:r w:rsidR="003E3578" w:rsidRPr="00EB35D4">
        <w:t>Offi</w:t>
      </w:r>
      <w:proofErr w:type="spellEnd"/>
      <w:r w:rsidR="003E3578" w:rsidRPr="00EB35D4">
        <w:t xml:space="preserve"> </w:t>
      </w:r>
      <w:proofErr w:type="spellStart"/>
      <w:r w:rsidR="003E3578" w:rsidRPr="00EB35D4">
        <w:t>ce</w:t>
      </w:r>
      <w:proofErr w:type="spellEnd"/>
      <w:r w:rsidR="003E3578" w:rsidRPr="00EB35D4">
        <w:t xml:space="preserve"> of Chemical Safety, Therapeutic Goods Administration, ACT</w:t>
      </w:r>
    </w:p>
    <w:p w14:paraId="42A05731" w14:textId="77777777" w:rsidR="0077009D" w:rsidRPr="00EB35D4" w:rsidRDefault="003E3578" w:rsidP="009F018E">
      <w:pPr>
        <w:pStyle w:val="ListParagraph"/>
        <w:numPr>
          <w:ilvl w:val="0"/>
          <w:numId w:val="29"/>
        </w:numPr>
        <w:ind w:left="851" w:hanging="851"/>
      </w:pPr>
      <w:r w:rsidRPr="00EB35D4">
        <w:t xml:space="preserve">Cate </w:t>
      </w:r>
      <w:proofErr w:type="spellStart"/>
      <w:r w:rsidRPr="00EB35D4">
        <w:t>Faehrmann</w:t>
      </w:r>
      <w:proofErr w:type="spellEnd"/>
      <w:r w:rsidRPr="00EB35D4">
        <w:t>, Nature Conservation Council of NSW, Sydney, NSW</w:t>
      </w:r>
    </w:p>
    <w:p w14:paraId="1C3DD137" w14:textId="77777777" w:rsidR="0077009D" w:rsidRPr="00EB35D4" w:rsidRDefault="0077009D" w:rsidP="009F018E">
      <w:pPr>
        <w:pStyle w:val="ListParagraph"/>
        <w:numPr>
          <w:ilvl w:val="0"/>
          <w:numId w:val="29"/>
        </w:numPr>
        <w:ind w:left="851" w:hanging="851"/>
      </w:pPr>
      <w:r w:rsidRPr="00EB35D4">
        <w:t>P</w:t>
      </w:r>
      <w:r w:rsidR="003E3578" w:rsidRPr="00EB35D4">
        <w:t>hilip Higson, Stafford, QLD</w:t>
      </w:r>
    </w:p>
    <w:p w14:paraId="0A8FD95D" w14:textId="77777777" w:rsidR="0077009D" w:rsidRPr="00EB35D4" w:rsidRDefault="0077009D" w:rsidP="009F018E">
      <w:pPr>
        <w:pStyle w:val="ListParagraph"/>
        <w:numPr>
          <w:ilvl w:val="0"/>
          <w:numId w:val="29"/>
        </w:numPr>
        <w:ind w:left="851" w:hanging="851"/>
      </w:pPr>
      <w:r w:rsidRPr="00EB35D4">
        <w:t>J</w:t>
      </w:r>
      <w:r w:rsidR="003E3578" w:rsidRPr="00EB35D4">
        <w:t>anet Grogan, Joondanna, WA</w:t>
      </w:r>
    </w:p>
    <w:p w14:paraId="4B9288F8" w14:textId="77777777" w:rsidR="0077009D" w:rsidRPr="00EB35D4" w:rsidRDefault="003E3578" w:rsidP="009F018E">
      <w:pPr>
        <w:pStyle w:val="ListParagraph"/>
        <w:numPr>
          <w:ilvl w:val="0"/>
          <w:numId w:val="29"/>
        </w:numPr>
        <w:ind w:left="851" w:hanging="851"/>
      </w:pPr>
      <w:proofErr w:type="spellStart"/>
      <w:r w:rsidRPr="00EB35D4">
        <w:t>Auscott</w:t>
      </w:r>
      <w:proofErr w:type="spellEnd"/>
      <w:r w:rsidRPr="00EB35D4">
        <w:t xml:space="preserve"> Limited, Sydney, NSW</w:t>
      </w:r>
    </w:p>
    <w:p w14:paraId="4F9D772C" w14:textId="77777777" w:rsidR="0077009D" w:rsidRPr="00EB35D4" w:rsidRDefault="003E3578" w:rsidP="009F018E">
      <w:pPr>
        <w:pStyle w:val="ListParagraph"/>
        <w:numPr>
          <w:ilvl w:val="0"/>
          <w:numId w:val="29"/>
        </w:numPr>
        <w:ind w:left="851" w:hanging="851"/>
      </w:pPr>
      <w:r w:rsidRPr="00EB35D4">
        <w:t>Helen Chambers, Marong, VIC</w:t>
      </w:r>
    </w:p>
    <w:p w14:paraId="66F1AE18" w14:textId="77777777" w:rsidR="0077009D" w:rsidRPr="00EB35D4" w:rsidRDefault="003E3578" w:rsidP="009F018E">
      <w:pPr>
        <w:pStyle w:val="ListParagraph"/>
        <w:numPr>
          <w:ilvl w:val="0"/>
          <w:numId w:val="29"/>
        </w:numPr>
        <w:ind w:left="851" w:hanging="851"/>
      </w:pPr>
      <w:r w:rsidRPr="00EB35D4">
        <w:t>Australian Academy of Science, ACT</w:t>
      </w:r>
    </w:p>
    <w:p w14:paraId="60B0CA20" w14:textId="77777777" w:rsidR="0077009D" w:rsidRPr="00EB35D4" w:rsidRDefault="003E3578" w:rsidP="009F018E">
      <w:pPr>
        <w:pStyle w:val="ListParagraph"/>
        <w:numPr>
          <w:ilvl w:val="0"/>
          <w:numId w:val="29"/>
        </w:numPr>
        <w:ind w:left="851" w:hanging="851"/>
      </w:pPr>
      <w:r w:rsidRPr="00EB35D4">
        <w:t>University of Sydney Institutional Biosafety Committee, Sydney NSW</w:t>
      </w:r>
    </w:p>
    <w:p w14:paraId="79470DAE" w14:textId="77777777" w:rsidR="0077009D" w:rsidRPr="00EB35D4" w:rsidRDefault="003E3578" w:rsidP="009F018E">
      <w:pPr>
        <w:pStyle w:val="ListParagraph"/>
        <w:numPr>
          <w:ilvl w:val="0"/>
          <w:numId w:val="29"/>
        </w:numPr>
        <w:ind w:left="851" w:hanging="851"/>
      </w:pPr>
      <w:r w:rsidRPr="00EB35D4">
        <w:t>University of New South Wales, NSW</w:t>
      </w:r>
    </w:p>
    <w:p w14:paraId="35E4C72B" w14:textId="77777777" w:rsidR="0077009D" w:rsidRPr="00EB35D4" w:rsidRDefault="003E3578" w:rsidP="009F018E">
      <w:pPr>
        <w:pStyle w:val="ListParagraph"/>
        <w:numPr>
          <w:ilvl w:val="0"/>
          <w:numId w:val="29"/>
        </w:numPr>
        <w:ind w:left="851" w:hanging="851"/>
      </w:pPr>
      <w:r w:rsidRPr="00EB35D4">
        <w:t>Philip Steel, Wee Waa, NSW</w:t>
      </w:r>
    </w:p>
    <w:p w14:paraId="24B9994F" w14:textId="77777777" w:rsidR="0077009D" w:rsidRPr="00EB35D4" w:rsidRDefault="003E3578" w:rsidP="009F018E">
      <w:pPr>
        <w:pStyle w:val="ListParagraph"/>
        <w:numPr>
          <w:ilvl w:val="0"/>
          <w:numId w:val="29"/>
        </w:numPr>
        <w:ind w:left="851" w:hanging="851"/>
      </w:pPr>
      <w:r w:rsidRPr="00EB35D4">
        <w:t>John Hamblin, Export Grains Centre Ltd, WA</w:t>
      </w:r>
    </w:p>
    <w:p w14:paraId="7F3B399F" w14:textId="77777777" w:rsidR="0077009D" w:rsidRPr="00EB35D4" w:rsidRDefault="003E3578" w:rsidP="009F018E">
      <w:pPr>
        <w:pStyle w:val="ListParagraph"/>
        <w:numPr>
          <w:ilvl w:val="0"/>
          <w:numId w:val="29"/>
        </w:numPr>
        <w:ind w:left="851" w:hanging="851"/>
      </w:pPr>
      <w:r w:rsidRPr="00EB35D4">
        <w:t xml:space="preserve">Bill Williamson, </w:t>
      </w:r>
      <w:proofErr w:type="spellStart"/>
      <w:r w:rsidRPr="00EB35D4">
        <w:t>Timbrebongie</w:t>
      </w:r>
      <w:proofErr w:type="spellEnd"/>
      <w:r w:rsidRPr="00EB35D4">
        <w:t xml:space="preserve"> Citrus, Narromine, NSW</w:t>
      </w:r>
    </w:p>
    <w:p w14:paraId="1E1E855F" w14:textId="77777777" w:rsidR="0077009D" w:rsidRPr="00EB35D4" w:rsidRDefault="003E3578" w:rsidP="009F018E">
      <w:pPr>
        <w:pStyle w:val="ListParagraph"/>
        <w:numPr>
          <w:ilvl w:val="0"/>
          <w:numId w:val="29"/>
        </w:numPr>
        <w:ind w:left="851" w:hanging="851"/>
      </w:pPr>
      <w:r w:rsidRPr="00EB35D4">
        <w:t>Mrs H. M. McKay, Canowindra, NSW</w:t>
      </w:r>
    </w:p>
    <w:p w14:paraId="13EF43B0" w14:textId="77777777" w:rsidR="0077009D" w:rsidRPr="00EB35D4" w:rsidRDefault="003E3578" w:rsidP="009F018E">
      <w:pPr>
        <w:pStyle w:val="ListParagraph"/>
        <w:numPr>
          <w:ilvl w:val="0"/>
          <w:numId w:val="29"/>
        </w:numPr>
        <w:ind w:left="851" w:hanging="851"/>
      </w:pPr>
      <w:r w:rsidRPr="00EB35D4">
        <w:t>Fern Wickson, Coalcliff, NSW</w:t>
      </w:r>
    </w:p>
    <w:p w14:paraId="5D0476ED" w14:textId="77777777" w:rsidR="0077009D" w:rsidRPr="00EB35D4" w:rsidRDefault="003E3578" w:rsidP="009F018E">
      <w:pPr>
        <w:pStyle w:val="ListParagraph"/>
        <w:numPr>
          <w:ilvl w:val="0"/>
          <w:numId w:val="29"/>
        </w:numPr>
        <w:ind w:left="851" w:hanging="851"/>
      </w:pPr>
      <w:r w:rsidRPr="00EB35D4">
        <w:t xml:space="preserve">Professor Peter </w:t>
      </w:r>
      <w:proofErr w:type="spellStart"/>
      <w:r w:rsidRPr="00EB35D4">
        <w:t>Schofi</w:t>
      </w:r>
      <w:proofErr w:type="spellEnd"/>
      <w:r w:rsidRPr="00EB35D4">
        <w:t xml:space="preserve"> eld, Prince of Wales Medical Research Institute, NSW</w:t>
      </w:r>
    </w:p>
    <w:p w14:paraId="0F534096" w14:textId="77777777" w:rsidR="0077009D" w:rsidRPr="00EB35D4" w:rsidRDefault="003E3578" w:rsidP="009F018E">
      <w:pPr>
        <w:pStyle w:val="ListParagraph"/>
        <w:numPr>
          <w:ilvl w:val="0"/>
          <w:numId w:val="29"/>
        </w:numPr>
        <w:ind w:left="851" w:hanging="851"/>
      </w:pPr>
      <w:r w:rsidRPr="00EB35D4">
        <w:t xml:space="preserve">Dr Jeff Freeman, The </w:t>
      </w:r>
      <w:proofErr w:type="spellStart"/>
      <w:r w:rsidRPr="00EB35D4">
        <w:t>Garvan</w:t>
      </w:r>
      <w:proofErr w:type="spellEnd"/>
      <w:r w:rsidRPr="00EB35D4">
        <w:t xml:space="preserve"> Institute Institutional Biosafety Committee, NSW</w:t>
      </w:r>
    </w:p>
    <w:p w14:paraId="07E16FD8" w14:textId="77777777" w:rsidR="0077009D" w:rsidRPr="00EB35D4" w:rsidRDefault="003E3578" w:rsidP="009F018E">
      <w:pPr>
        <w:pStyle w:val="ListParagraph"/>
        <w:numPr>
          <w:ilvl w:val="0"/>
          <w:numId w:val="29"/>
        </w:numPr>
        <w:ind w:left="851" w:hanging="851"/>
      </w:pPr>
      <w:r w:rsidRPr="00EB35D4">
        <w:t xml:space="preserve">Gary </w:t>
      </w:r>
      <w:proofErr w:type="spellStart"/>
      <w:r w:rsidRPr="00EB35D4">
        <w:t>Bilton</w:t>
      </w:r>
      <w:proofErr w:type="spellEnd"/>
      <w:r w:rsidRPr="00EB35D4">
        <w:t>, Talbingo, NSW</w:t>
      </w:r>
    </w:p>
    <w:p w14:paraId="6E8C7188" w14:textId="77777777" w:rsidR="0077009D" w:rsidRPr="00EB35D4" w:rsidRDefault="003E3578" w:rsidP="009F018E">
      <w:pPr>
        <w:pStyle w:val="ListParagraph"/>
        <w:numPr>
          <w:ilvl w:val="0"/>
          <w:numId w:val="29"/>
        </w:numPr>
        <w:ind w:left="851" w:hanging="851"/>
      </w:pPr>
      <w:r w:rsidRPr="00EB35D4">
        <w:t>P.E. &amp; C.L. Williamson, Coolamon, NSW</w:t>
      </w:r>
    </w:p>
    <w:p w14:paraId="1CEC53DD" w14:textId="77777777" w:rsidR="0077009D" w:rsidRPr="00EB35D4" w:rsidRDefault="003E3578" w:rsidP="009F018E">
      <w:pPr>
        <w:pStyle w:val="ListParagraph"/>
        <w:numPr>
          <w:ilvl w:val="0"/>
          <w:numId w:val="29"/>
        </w:numPr>
        <w:ind w:left="851" w:hanging="851"/>
      </w:pPr>
      <w:r w:rsidRPr="00EB35D4">
        <w:t>Total Environment Centre Inc, Sydney, NSW</w:t>
      </w:r>
    </w:p>
    <w:p w14:paraId="3159F6AA" w14:textId="77777777" w:rsidR="0077009D" w:rsidRPr="00EB35D4" w:rsidRDefault="003E3578" w:rsidP="009F018E">
      <w:pPr>
        <w:pStyle w:val="ListParagraph"/>
        <w:numPr>
          <w:ilvl w:val="0"/>
          <w:numId w:val="29"/>
        </w:numPr>
        <w:ind w:left="851" w:hanging="851"/>
      </w:pPr>
      <w:r w:rsidRPr="00EB35D4">
        <w:t>The Australian Society for Microbiology, Melbourne, VIC</w:t>
      </w:r>
    </w:p>
    <w:p w14:paraId="6358A622" w14:textId="77777777" w:rsidR="0077009D" w:rsidRPr="00EB35D4" w:rsidRDefault="003E3578" w:rsidP="009F018E">
      <w:pPr>
        <w:pStyle w:val="ListParagraph"/>
        <w:numPr>
          <w:ilvl w:val="0"/>
          <w:numId w:val="29"/>
        </w:numPr>
        <w:ind w:left="851" w:hanging="851"/>
      </w:pPr>
      <w:r w:rsidRPr="00EB35D4">
        <w:t>Grains Council of Australia, Barton, ACT</w:t>
      </w:r>
    </w:p>
    <w:p w14:paraId="5AEA400A" w14:textId="77777777" w:rsidR="0077009D" w:rsidRPr="00EB35D4" w:rsidRDefault="003E3578" w:rsidP="009F018E">
      <w:pPr>
        <w:pStyle w:val="ListParagraph"/>
        <w:numPr>
          <w:ilvl w:val="0"/>
          <w:numId w:val="29"/>
        </w:numPr>
        <w:ind w:left="851" w:hanging="851"/>
      </w:pPr>
      <w:r w:rsidRPr="00EB35D4">
        <w:t>Susan Hutton, Menzies School of Health Research, NT</w:t>
      </w:r>
    </w:p>
    <w:p w14:paraId="67A7A9BB" w14:textId="77777777" w:rsidR="0077009D" w:rsidRPr="00EB35D4" w:rsidRDefault="003E3578" w:rsidP="009F018E">
      <w:pPr>
        <w:pStyle w:val="ListParagraph"/>
        <w:numPr>
          <w:ilvl w:val="0"/>
          <w:numId w:val="29"/>
        </w:numPr>
        <w:ind w:left="851" w:hanging="851"/>
      </w:pPr>
      <w:r w:rsidRPr="00EB35D4">
        <w:t>Victorian Farmers Federation, Melbourne, VIC</w:t>
      </w:r>
    </w:p>
    <w:p w14:paraId="26274C91" w14:textId="77777777" w:rsidR="0077009D" w:rsidRPr="00EB35D4" w:rsidRDefault="003E3578" w:rsidP="009F018E">
      <w:pPr>
        <w:pStyle w:val="ListParagraph"/>
        <w:numPr>
          <w:ilvl w:val="0"/>
          <w:numId w:val="29"/>
        </w:numPr>
        <w:ind w:left="851" w:hanging="851"/>
      </w:pPr>
      <w:proofErr w:type="spellStart"/>
      <w:r w:rsidRPr="00EB35D4">
        <w:t>Giz</w:t>
      </w:r>
      <w:proofErr w:type="spellEnd"/>
      <w:r w:rsidRPr="00EB35D4">
        <w:t xml:space="preserve"> Watson MLC, Member for North Metropolitan Region, WA</w:t>
      </w:r>
    </w:p>
    <w:p w14:paraId="4CB12427" w14:textId="77777777" w:rsidR="0077009D" w:rsidRPr="00EB35D4" w:rsidRDefault="003E3578" w:rsidP="009F018E">
      <w:pPr>
        <w:pStyle w:val="ListParagraph"/>
        <w:numPr>
          <w:ilvl w:val="0"/>
          <w:numId w:val="29"/>
        </w:numPr>
        <w:ind w:left="851" w:hanging="851"/>
      </w:pPr>
      <w:proofErr w:type="spellStart"/>
      <w:r w:rsidRPr="00EB35D4">
        <w:t>Morva</w:t>
      </w:r>
      <w:proofErr w:type="spellEnd"/>
      <w:r w:rsidRPr="00EB35D4">
        <w:t xml:space="preserve"> Rule, Marong, VIC</w:t>
      </w:r>
    </w:p>
    <w:p w14:paraId="42C4BEF7" w14:textId="77777777" w:rsidR="0077009D" w:rsidRPr="00EB35D4" w:rsidRDefault="003E3578" w:rsidP="009F018E">
      <w:pPr>
        <w:pStyle w:val="ListParagraph"/>
        <w:numPr>
          <w:ilvl w:val="0"/>
          <w:numId w:val="29"/>
        </w:numPr>
        <w:ind w:left="851" w:hanging="851"/>
      </w:pPr>
      <w:r w:rsidRPr="00EB35D4">
        <w:lastRenderedPageBreak/>
        <w:t>Darling Downs Cotton Growers Inc, Dalby, QLD</w:t>
      </w:r>
    </w:p>
    <w:p w14:paraId="10DED88F" w14:textId="77777777" w:rsidR="0077009D" w:rsidRPr="00EB35D4" w:rsidRDefault="003E3578" w:rsidP="009F018E">
      <w:pPr>
        <w:pStyle w:val="ListParagraph"/>
        <w:numPr>
          <w:ilvl w:val="0"/>
          <w:numId w:val="29"/>
        </w:numPr>
        <w:ind w:left="851" w:hanging="851"/>
      </w:pPr>
      <w:r w:rsidRPr="00EB35D4">
        <w:t>Joy Chambers, Marong, VIC</w:t>
      </w:r>
    </w:p>
    <w:p w14:paraId="50269CB9" w14:textId="77777777" w:rsidR="0077009D" w:rsidRPr="00EB35D4" w:rsidRDefault="003E3578" w:rsidP="009F018E">
      <w:pPr>
        <w:pStyle w:val="ListParagraph"/>
        <w:numPr>
          <w:ilvl w:val="0"/>
          <w:numId w:val="29"/>
        </w:numPr>
        <w:ind w:left="851" w:hanging="851"/>
      </w:pPr>
      <w:r w:rsidRPr="00EB35D4">
        <w:t>Paula Lambert, NZ</w:t>
      </w:r>
    </w:p>
    <w:p w14:paraId="74573694" w14:textId="77777777" w:rsidR="0077009D" w:rsidRPr="00EB35D4" w:rsidRDefault="003E3578" w:rsidP="009F018E">
      <w:pPr>
        <w:pStyle w:val="ListParagraph"/>
        <w:numPr>
          <w:ilvl w:val="0"/>
          <w:numId w:val="29"/>
        </w:numPr>
        <w:ind w:left="851" w:hanging="851"/>
      </w:pPr>
      <w:r w:rsidRPr="00EB35D4">
        <w:t>Lynne Forster, Sandy Bay, TAS</w:t>
      </w:r>
    </w:p>
    <w:p w14:paraId="50D5AFA5" w14:textId="77777777" w:rsidR="0077009D" w:rsidRPr="00EB35D4" w:rsidRDefault="003E3578" w:rsidP="009F018E">
      <w:pPr>
        <w:pStyle w:val="ListParagraph"/>
        <w:numPr>
          <w:ilvl w:val="0"/>
          <w:numId w:val="29"/>
        </w:numPr>
        <w:ind w:left="851" w:hanging="851"/>
      </w:pPr>
      <w:r w:rsidRPr="00EB35D4">
        <w:t>Tarryn Harmer, Perth, WA</w:t>
      </w:r>
    </w:p>
    <w:p w14:paraId="30C02BBA" w14:textId="77777777" w:rsidR="0077009D" w:rsidRPr="00EB35D4" w:rsidRDefault="003E3578" w:rsidP="009F018E">
      <w:pPr>
        <w:pStyle w:val="ListParagraph"/>
        <w:numPr>
          <w:ilvl w:val="0"/>
          <w:numId w:val="29"/>
        </w:numPr>
        <w:ind w:left="851" w:hanging="851"/>
      </w:pPr>
      <w:r w:rsidRPr="00EB35D4">
        <w:t>Judy Cameron, South Geelong, VIC</w:t>
      </w:r>
    </w:p>
    <w:p w14:paraId="575A4FCB" w14:textId="77777777" w:rsidR="0077009D" w:rsidRPr="00EB35D4" w:rsidRDefault="003E3578" w:rsidP="009F018E">
      <w:pPr>
        <w:pStyle w:val="ListParagraph"/>
        <w:numPr>
          <w:ilvl w:val="0"/>
          <w:numId w:val="29"/>
        </w:numPr>
        <w:ind w:left="851" w:hanging="851"/>
      </w:pPr>
      <w:r w:rsidRPr="00EB35D4">
        <w:t>Gene Technology Ethics Committee, ACT</w:t>
      </w:r>
    </w:p>
    <w:p w14:paraId="3EB3F4B0" w14:textId="77777777" w:rsidR="0077009D" w:rsidRPr="00EB35D4" w:rsidRDefault="003E3578" w:rsidP="009F018E">
      <w:pPr>
        <w:pStyle w:val="ListParagraph"/>
        <w:numPr>
          <w:ilvl w:val="0"/>
          <w:numId w:val="29"/>
        </w:numPr>
        <w:ind w:left="851" w:hanging="851"/>
      </w:pPr>
      <w:r w:rsidRPr="00EB35D4">
        <w:t xml:space="preserve">Tania </w:t>
      </w:r>
      <w:proofErr w:type="spellStart"/>
      <w:r w:rsidRPr="00EB35D4">
        <w:t>Kanavas</w:t>
      </w:r>
      <w:proofErr w:type="spellEnd"/>
      <w:r w:rsidRPr="00EB35D4">
        <w:t>, State unknown</w:t>
      </w:r>
    </w:p>
    <w:p w14:paraId="18BEEAE4" w14:textId="77777777" w:rsidR="0077009D" w:rsidRPr="00EB35D4" w:rsidRDefault="003E3578" w:rsidP="009F018E">
      <w:pPr>
        <w:pStyle w:val="ListParagraph"/>
        <w:numPr>
          <w:ilvl w:val="0"/>
          <w:numId w:val="29"/>
        </w:numPr>
        <w:ind w:left="851" w:hanging="851"/>
      </w:pPr>
      <w:r w:rsidRPr="00EB35D4">
        <w:t>GE Free New Zealand, NZ</w:t>
      </w:r>
    </w:p>
    <w:p w14:paraId="6F45F655" w14:textId="77777777" w:rsidR="0077009D" w:rsidRPr="00EB35D4" w:rsidRDefault="003E3578" w:rsidP="009F018E">
      <w:pPr>
        <w:pStyle w:val="ListParagraph"/>
        <w:numPr>
          <w:ilvl w:val="0"/>
          <w:numId w:val="29"/>
        </w:numPr>
        <w:ind w:left="851" w:hanging="851"/>
      </w:pPr>
      <w:r w:rsidRPr="00EB35D4">
        <w:t>Syngenta Seeds Pty Ltd, NSW</w:t>
      </w:r>
    </w:p>
    <w:p w14:paraId="6A07FBFC" w14:textId="77777777" w:rsidR="0077009D" w:rsidRPr="00EB35D4" w:rsidRDefault="003E3578" w:rsidP="009F018E">
      <w:pPr>
        <w:pStyle w:val="ListParagraph"/>
        <w:numPr>
          <w:ilvl w:val="0"/>
          <w:numId w:val="29"/>
        </w:numPr>
        <w:ind w:left="851" w:hanging="851"/>
      </w:pPr>
      <w:r w:rsidRPr="00EB35D4">
        <w:t>Cotton Australia Ltd, NSW</w:t>
      </w:r>
    </w:p>
    <w:p w14:paraId="4F5ADBF8" w14:textId="77777777" w:rsidR="0077009D" w:rsidRPr="00EB35D4" w:rsidRDefault="003E3578" w:rsidP="009F018E">
      <w:pPr>
        <w:pStyle w:val="ListParagraph"/>
        <w:numPr>
          <w:ilvl w:val="0"/>
          <w:numId w:val="29"/>
        </w:numPr>
        <w:ind w:left="851" w:hanging="851"/>
      </w:pPr>
      <w:r w:rsidRPr="00EB35D4">
        <w:t>Victorian and Tasmanian IBC Network, VIC</w:t>
      </w:r>
    </w:p>
    <w:p w14:paraId="6BB5A8BC" w14:textId="77777777" w:rsidR="0077009D" w:rsidRPr="00EB35D4" w:rsidRDefault="003E3578" w:rsidP="009F018E">
      <w:pPr>
        <w:pStyle w:val="ListParagraph"/>
        <w:numPr>
          <w:ilvl w:val="0"/>
          <w:numId w:val="29"/>
        </w:numPr>
        <w:ind w:left="851" w:hanging="851"/>
      </w:pPr>
      <w:proofErr w:type="gramStart"/>
      <w:r w:rsidRPr="00EB35D4">
        <w:t>Bio-Dynamics Tasmania</w:t>
      </w:r>
      <w:proofErr w:type="gramEnd"/>
      <w:r w:rsidRPr="00EB35D4">
        <w:t>, TAS</w:t>
      </w:r>
    </w:p>
    <w:p w14:paraId="331726DD" w14:textId="77777777" w:rsidR="0077009D" w:rsidRPr="00EB35D4" w:rsidRDefault="003E3578" w:rsidP="009F018E">
      <w:pPr>
        <w:pStyle w:val="ListParagraph"/>
        <w:numPr>
          <w:ilvl w:val="0"/>
          <w:numId w:val="29"/>
        </w:numPr>
        <w:ind w:left="851" w:hanging="851"/>
      </w:pPr>
      <w:r w:rsidRPr="00EB35D4">
        <w:t xml:space="preserve">Dr Lindsay Cook, </w:t>
      </w:r>
      <w:proofErr w:type="spellStart"/>
      <w:r w:rsidRPr="00EB35D4">
        <w:t>Lindfi</w:t>
      </w:r>
      <w:proofErr w:type="spellEnd"/>
      <w:r w:rsidRPr="00EB35D4">
        <w:t xml:space="preserve"> eld, NSW</w:t>
      </w:r>
    </w:p>
    <w:p w14:paraId="1A3ABBC9" w14:textId="77777777" w:rsidR="0077009D" w:rsidRPr="00EB35D4" w:rsidRDefault="003E3578" w:rsidP="009F018E">
      <w:pPr>
        <w:pStyle w:val="ListParagraph"/>
        <w:numPr>
          <w:ilvl w:val="0"/>
          <w:numId w:val="29"/>
        </w:numPr>
        <w:ind w:left="851" w:hanging="851"/>
      </w:pPr>
      <w:r w:rsidRPr="00EB35D4">
        <w:t>Prince Henry’s Institute of Medical Research, VIC</w:t>
      </w:r>
    </w:p>
    <w:p w14:paraId="5A42DD24" w14:textId="77777777" w:rsidR="0077009D" w:rsidRPr="00EB35D4" w:rsidRDefault="003E3578" w:rsidP="009F018E">
      <w:pPr>
        <w:pStyle w:val="ListParagraph"/>
        <w:numPr>
          <w:ilvl w:val="0"/>
          <w:numId w:val="29"/>
        </w:numPr>
        <w:ind w:left="851" w:hanging="851"/>
      </w:pPr>
      <w:r w:rsidRPr="00EB35D4">
        <w:t>Tracie Matthews, Young, NSW</w:t>
      </w:r>
    </w:p>
    <w:p w14:paraId="522AA716" w14:textId="77777777" w:rsidR="0077009D" w:rsidRPr="00EB35D4" w:rsidRDefault="003E3578" w:rsidP="009F018E">
      <w:pPr>
        <w:pStyle w:val="ListParagraph"/>
        <w:numPr>
          <w:ilvl w:val="0"/>
          <w:numId w:val="29"/>
        </w:numPr>
        <w:ind w:left="851" w:hanging="851"/>
      </w:pPr>
      <w:r w:rsidRPr="00EB35D4">
        <w:t>CRC Sugar Industry Innovation through Biotechnology, The University</w:t>
      </w:r>
      <w:r w:rsidR="0077009D" w:rsidRPr="00EB35D4">
        <w:t xml:space="preserve"> </w:t>
      </w:r>
      <w:r w:rsidRPr="00EB35D4">
        <w:t>of Queensland, QLD</w:t>
      </w:r>
    </w:p>
    <w:p w14:paraId="4958DE3E" w14:textId="77777777" w:rsidR="00767771" w:rsidRPr="00EB35D4" w:rsidRDefault="00767771" w:rsidP="009F018E">
      <w:pPr>
        <w:pStyle w:val="ListParagraph"/>
        <w:numPr>
          <w:ilvl w:val="0"/>
          <w:numId w:val="29"/>
        </w:numPr>
        <w:ind w:left="851" w:hanging="851"/>
      </w:pPr>
      <w:r w:rsidRPr="00EB35D4">
        <w:t>Michael Matthews, Young, NSW</w:t>
      </w:r>
    </w:p>
    <w:p w14:paraId="7152D5E6" w14:textId="77777777" w:rsidR="00767771" w:rsidRPr="00EB35D4" w:rsidRDefault="00767771" w:rsidP="009F018E">
      <w:pPr>
        <w:pStyle w:val="ListParagraph"/>
        <w:numPr>
          <w:ilvl w:val="0"/>
          <w:numId w:val="29"/>
        </w:numPr>
        <w:ind w:left="851" w:hanging="851"/>
      </w:pPr>
      <w:proofErr w:type="spellStart"/>
      <w:r w:rsidRPr="00EB35D4">
        <w:t>AusBiotech</w:t>
      </w:r>
      <w:proofErr w:type="spellEnd"/>
      <w:r w:rsidRPr="00EB35D4">
        <w:t xml:space="preserve"> Ltd, Richmond, VIC</w:t>
      </w:r>
    </w:p>
    <w:p w14:paraId="11E4CF8B" w14:textId="77777777" w:rsidR="00767771" w:rsidRPr="00EB35D4" w:rsidRDefault="00767771" w:rsidP="009F018E">
      <w:pPr>
        <w:pStyle w:val="ListParagraph"/>
        <w:numPr>
          <w:ilvl w:val="0"/>
          <w:numId w:val="29"/>
        </w:numPr>
        <w:ind w:left="851" w:hanging="851"/>
      </w:pPr>
      <w:proofErr w:type="spellStart"/>
      <w:r w:rsidRPr="00EB35D4">
        <w:t>Avcare</w:t>
      </w:r>
      <w:proofErr w:type="spellEnd"/>
      <w:r w:rsidRPr="00EB35D4">
        <w:t xml:space="preserve"> Ltd, Canberra, ACT</w:t>
      </w:r>
    </w:p>
    <w:p w14:paraId="11FACC0F" w14:textId="77777777" w:rsidR="00767771" w:rsidRPr="00EB35D4" w:rsidRDefault="00767771" w:rsidP="009F018E">
      <w:pPr>
        <w:pStyle w:val="ListParagraph"/>
        <w:numPr>
          <w:ilvl w:val="0"/>
          <w:numId w:val="29"/>
        </w:numPr>
        <w:ind w:left="851" w:hanging="851"/>
      </w:pPr>
      <w:proofErr w:type="spellStart"/>
      <w:r w:rsidRPr="00EB35D4">
        <w:t>Florigene</w:t>
      </w:r>
      <w:proofErr w:type="spellEnd"/>
      <w:r w:rsidRPr="00EB35D4">
        <w:t xml:space="preserve"> Ltd, Collingwood, VIC</w:t>
      </w:r>
    </w:p>
    <w:p w14:paraId="5D7316A4" w14:textId="77777777" w:rsidR="00767771" w:rsidRPr="00EB35D4" w:rsidRDefault="00767771" w:rsidP="009F018E">
      <w:pPr>
        <w:pStyle w:val="ListParagraph"/>
        <w:numPr>
          <w:ilvl w:val="0"/>
          <w:numId w:val="29"/>
        </w:numPr>
        <w:ind w:left="851" w:hanging="851"/>
      </w:pPr>
      <w:r w:rsidRPr="00EB35D4">
        <w:t>Burnet Institute, VIC</w:t>
      </w:r>
    </w:p>
    <w:p w14:paraId="23387E73" w14:textId="77777777" w:rsidR="00767771" w:rsidRPr="00EB35D4" w:rsidRDefault="00767771" w:rsidP="009F018E">
      <w:pPr>
        <w:pStyle w:val="ListParagraph"/>
        <w:numPr>
          <w:ilvl w:val="0"/>
          <w:numId w:val="29"/>
        </w:numPr>
        <w:ind w:left="851" w:hanging="851"/>
      </w:pPr>
      <w:r w:rsidRPr="00EB35D4">
        <w:t>Institutional Biosafety Committee, Prince Royal Alfred Hospital, NSW</w:t>
      </w:r>
    </w:p>
    <w:p w14:paraId="4957D8B2" w14:textId="77777777" w:rsidR="00767771" w:rsidRPr="00EB35D4" w:rsidRDefault="00767771" w:rsidP="009F018E">
      <w:pPr>
        <w:pStyle w:val="ListParagraph"/>
        <w:numPr>
          <w:ilvl w:val="0"/>
          <w:numId w:val="29"/>
        </w:numPr>
        <w:ind w:left="851" w:hanging="851"/>
      </w:pPr>
      <w:r w:rsidRPr="00EB35D4">
        <w:t>Crabtree Agricultural Consulting, Northam, WA</w:t>
      </w:r>
    </w:p>
    <w:p w14:paraId="4A20F31D" w14:textId="77777777" w:rsidR="00767771" w:rsidRPr="00EB35D4" w:rsidRDefault="00767771" w:rsidP="009F018E">
      <w:pPr>
        <w:pStyle w:val="ListParagraph"/>
        <w:numPr>
          <w:ilvl w:val="0"/>
          <w:numId w:val="29"/>
        </w:numPr>
        <w:ind w:left="851" w:hanging="851"/>
      </w:pPr>
      <w:r w:rsidRPr="00EB35D4">
        <w:t>Dorothy Pottage, Mount Eliza, VIC</w:t>
      </w:r>
    </w:p>
    <w:p w14:paraId="6D1B8031" w14:textId="77777777" w:rsidR="00767771" w:rsidRPr="00EB35D4" w:rsidRDefault="00767771" w:rsidP="009F018E">
      <w:pPr>
        <w:pStyle w:val="ListParagraph"/>
        <w:numPr>
          <w:ilvl w:val="0"/>
          <w:numId w:val="29"/>
        </w:numPr>
        <w:ind w:left="851" w:hanging="851"/>
      </w:pPr>
      <w:r w:rsidRPr="00EB35D4">
        <w:t>South Australian Farmers Federation, Adelaide, SA</w:t>
      </w:r>
    </w:p>
    <w:p w14:paraId="5311BDC7" w14:textId="77777777" w:rsidR="00767771" w:rsidRPr="00EB35D4" w:rsidRDefault="00767771" w:rsidP="009F018E">
      <w:pPr>
        <w:pStyle w:val="ListParagraph"/>
        <w:numPr>
          <w:ilvl w:val="0"/>
          <w:numId w:val="29"/>
        </w:numPr>
        <w:ind w:left="851" w:hanging="851"/>
      </w:pPr>
      <w:r w:rsidRPr="00EB35D4">
        <w:t>Fort Dodge Animal Health, Baulkham Hills, NSW</w:t>
      </w:r>
    </w:p>
    <w:p w14:paraId="6AAA5D5F" w14:textId="77777777" w:rsidR="00767771" w:rsidRPr="00EB35D4" w:rsidRDefault="00767771" w:rsidP="009F018E">
      <w:pPr>
        <w:pStyle w:val="ListParagraph"/>
        <w:numPr>
          <w:ilvl w:val="0"/>
          <w:numId w:val="29"/>
        </w:numPr>
        <w:ind w:left="851" w:hanging="851"/>
      </w:pPr>
      <w:r w:rsidRPr="00EB35D4">
        <w:t>University of Melbourne, Melbourne, VIC</w:t>
      </w:r>
    </w:p>
    <w:p w14:paraId="24CCFCCD" w14:textId="77777777" w:rsidR="00767771" w:rsidRPr="00EB35D4" w:rsidRDefault="00767771" w:rsidP="009F018E">
      <w:pPr>
        <w:pStyle w:val="ListParagraph"/>
        <w:numPr>
          <w:ilvl w:val="0"/>
          <w:numId w:val="29"/>
        </w:numPr>
        <w:ind w:left="851" w:hanging="851"/>
      </w:pPr>
      <w:r w:rsidRPr="00EB35D4">
        <w:t>Monsanto, VIC</w:t>
      </w:r>
    </w:p>
    <w:p w14:paraId="670AFE8A" w14:textId="77777777" w:rsidR="00767771" w:rsidRPr="00EB35D4" w:rsidRDefault="00767771" w:rsidP="009F018E">
      <w:pPr>
        <w:pStyle w:val="ListParagraph"/>
        <w:numPr>
          <w:ilvl w:val="0"/>
          <w:numId w:val="29"/>
        </w:numPr>
        <w:ind w:left="851" w:hanging="851"/>
      </w:pPr>
      <w:r w:rsidRPr="00EB35D4">
        <w:t>Conservation Council of Western Australia Inc, West Perth, WA</w:t>
      </w:r>
    </w:p>
    <w:p w14:paraId="2BD3EB92" w14:textId="77777777" w:rsidR="00767771" w:rsidRPr="00EB35D4" w:rsidRDefault="00767771" w:rsidP="009F018E">
      <w:pPr>
        <w:pStyle w:val="ListParagraph"/>
        <w:numPr>
          <w:ilvl w:val="0"/>
          <w:numId w:val="29"/>
        </w:numPr>
        <w:ind w:left="851" w:hanging="851"/>
      </w:pPr>
      <w:r w:rsidRPr="00EB35D4">
        <w:t>The Australian Food and Grocery Council, ACT</w:t>
      </w:r>
    </w:p>
    <w:p w14:paraId="7C01080B" w14:textId="77777777" w:rsidR="00767771" w:rsidRPr="00EB35D4" w:rsidRDefault="00767771" w:rsidP="009F018E">
      <w:pPr>
        <w:pStyle w:val="ListParagraph"/>
        <w:numPr>
          <w:ilvl w:val="0"/>
          <w:numId w:val="29"/>
        </w:numPr>
        <w:ind w:left="851" w:hanging="851"/>
      </w:pPr>
      <w:proofErr w:type="spellStart"/>
      <w:r w:rsidRPr="00EB35D4">
        <w:t>Bioproperties</w:t>
      </w:r>
      <w:proofErr w:type="spellEnd"/>
      <w:r w:rsidRPr="00EB35D4">
        <w:t xml:space="preserve"> Pty Ltd, Glenorie, NSW</w:t>
      </w:r>
    </w:p>
    <w:p w14:paraId="4E9E7D30" w14:textId="77777777" w:rsidR="00767771" w:rsidRPr="00EB35D4" w:rsidRDefault="00767771" w:rsidP="009F018E">
      <w:pPr>
        <w:pStyle w:val="ListParagraph"/>
        <w:numPr>
          <w:ilvl w:val="0"/>
          <w:numId w:val="29"/>
        </w:numPr>
        <w:ind w:left="851" w:hanging="851"/>
      </w:pPr>
      <w:r w:rsidRPr="00EB35D4">
        <w:t>CSR Sugar, Milton, QLD</w:t>
      </w:r>
    </w:p>
    <w:p w14:paraId="3135898F" w14:textId="77777777" w:rsidR="00767771" w:rsidRPr="00EB35D4" w:rsidRDefault="00767771" w:rsidP="009F018E">
      <w:pPr>
        <w:pStyle w:val="ListParagraph"/>
        <w:numPr>
          <w:ilvl w:val="0"/>
          <w:numId w:val="29"/>
        </w:numPr>
        <w:ind w:left="851" w:hanging="851"/>
      </w:pPr>
      <w:r w:rsidRPr="00EB35D4">
        <w:t>Australian Dairy Farmers Ltd, Melbourne, VIC</w:t>
      </w:r>
    </w:p>
    <w:p w14:paraId="6DEAF4BC" w14:textId="77777777" w:rsidR="00767771" w:rsidRPr="00EB35D4" w:rsidRDefault="00767771" w:rsidP="009F018E">
      <w:pPr>
        <w:pStyle w:val="ListParagraph"/>
        <w:numPr>
          <w:ilvl w:val="0"/>
          <w:numId w:val="29"/>
        </w:numPr>
        <w:ind w:left="851" w:hanging="851"/>
      </w:pPr>
      <w:r w:rsidRPr="00EB35D4">
        <w:t>Consumers’ Association of South Australia, Adelaide, SA</w:t>
      </w:r>
    </w:p>
    <w:p w14:paraId="69BBBC91" w14:textId="77777777" w:rsidR="00767771" w:rsidRPr="00EB35D4" w:rsidRDefault="00767771" w:rsidP="009F018E">
      <w:pPr>
        <w:pStyle w:val="ListParagraph"/>
        <w:numPr>
          <w:ilvl w:val="0"/>
          <w:numId w:val="29"/>
        </w:numPr>
        <w:ind w:left="851" w:hanging="851"/>
      </w:pPr>
      <w:r w:rsidRPr="00EB35D4">
        <w:t>Dr A. Wendy Russell, School of Biological Sciences,</w:t>
      </w:r>
      <w:r w:rsidR="00205CBC" w:rsidRPr="00EB35D4">
        <w:t xml:space="preserve"> </w:t>
      </w:r>
      <w:r w:rsidRPr="00EB35D4">
        <w:t>University of Wollongong, NSW</w:t>
      </w:r>
    </w:p>
    <w:p w14:paraId="623DF2A5" w14:textId="77777777" w:rsidR="00205CBC" w:rsidRPr="00EB35D4" w:rsidRDefault="00767771" w:rsidP="009F018E">
      <w:pPr>
        <w:pStyle w:val="ListParagraph"/>
        <w:numPr>
          <w:ilvl w:val="0"/>
          <w:numId w:val="29"/>
        </w:numPr>
        <w:ind w:left="851" w:hanging="851"/>
      </w:pPr>
      <w:proofErr w:type="spellStart"/>
      <w:r w:rsidRPr="00EB35D4">
        <w:t>Agrifood</w:t>
      </w:r>
      <w:proofErr w:type="spellEnd"/>
      <w:r w:rsidRPr="00EB35D4">
        <w:t xml:space="preserve"> Awareness Ltd, Kingston, ACT</w:t>
      </w:r>
    </w:p>
    <w:p w14:paraId="7D929A53" w14:textId="77777777" w:rsidR="00767771" w:rsidRPr="00EB35D4" w:rsidRDefault="00767771" w:rsidP="009F018E">
      <w:pPr>
        <w:pStyle w:val="ListParagraph"/>
        <w:numPr>
          <w:ilvl w:val="0"/>
          <w:numId w:val="29"/>
        </w:numPr>
        <w:ind w:left="851" w:hanging="851"/>
      </w:pPr>
      <w:r w:rsidRPr="00EB35D4">
        <w:t>Southern GE-FREE, Moorabbin, VIC</w:t>
      </w:r>
    </w:p>
    <w:p w14:paraId="7C37620D" w14:textId="77777777" w:rsidR="00767771" w:rsidRPr="00EB35D4" w:rsidRDefault="00767771" w:rsidP="009F018E">
      <w:pPr>
        <w:pStyle w:val="ListParagraph"/>
        <w:numPr>
          <w:ilvl w:val="0"/>
          <w:numId w:val="29"/>
        </w:numPr>
        <w:ind w:left="851" w:hanging="851"/>
      </w:pPr>
      <w:r w:rsidRPr="00EB35D4">
        <w:t>Dr C. Preston, University of Adelaide, SA</w:t>
      </w:r>
    </w:p>
    <w:p w14:paraId="73B98F52" w14:textId="77777777" w:rsidR="00767771" w:rsidRPr="00EB35D4" w:rsidRDefault="00767771" w:rsidP="009F018E">
      <w:pPr>
        <w:pStyle w:val="ListParagraph"/>
        <w:numPr>
          <w:ilvl w:val="0"/>
          <w:numId w:val="29"/>
        </w:numPr>
        <w:ind w:left="851" w:hanging="851"/>
      </w:pPr>
      <w:r w:rsidRPr="00EB35D4">
        <w:t>Professor Emeritus John Lovett, Lovett Associates Pty Ltd, Hall, ACT</w:t>
      </w:r>
    </w:p>
    <w:p w14:paraId="30BC2DB5" w14:textId="77777777" w:rsidR="00767771" w:rsidRPr="00EB35D4" w:rsidRDefault="00767771" w:rsidP="009F018E">
      <w:pPr>
        <w:pStyle w:val="ListParagraph"/>
        <w:numPr>
          <w:ilvl w:val="0"/>
          <w:numId w:val="29"/>
        </w:numPr>
        <w:ind w:left="851" w:hanging="851"/>
      </w:pPr>
      <w:r w:rsidRPr="00EB35D4">
        <w:t>CSIRO, Black Mountain, ACT</w:t>
      </w:r>
    </w:p>
    <w:p w14:paraId="3E324867" w14:textId="77777777" w:rsidR="00767771" w:rsidRPr="00EB35D4" w:rsidRDefault="00767771" w:rsidP="009F018E">
      <w:pPr>
        <w:pStyle w:val="ListParagraph"/>
        <w:numPr>
          <w:ilvl w:val="0"/>
          <w:numId w:val="29"/>
        </w:numPr>
        <w:ind w:left="851" w:hanging="851"/>
      </w:pPr>
      <w:r w:rsidRPr="00EB35D4">
        <w:t>Grains Research &amp; Development Corporation, Barton, ACT</w:t>
      </w:r>
    </w:p>
    <w:p w14:paraId="2A10747B" w14:textId="77777777" w:rsidR="00767771" w:rsidRPr="00EB35D4" w:rsidRDefault="00767771" w:rsidP="009F018E">
      <w:pPr>
        <w:pStyle w:val="ListParagraph"/>
        <w:numPr>
          <w:ilvl w:val="0"/>
          <w:numId w:val="29"/>
        </w:numPr>
        <w:ind w:left="851" w:hanging="851"/>
      </w:pPr>
      <w:r w:rsidRPr="00EB35D4">
        <w:t>Institute of Public Affairs Ltd, Melbourne, VIC</w:t>
      </w:r>
    </w:p>
    <w:p w14:paraId="54515D16" w14:textId="77777777" w:rsidR="00767771" w:rsidRPr="00EB35D4" w:rsidRDefault="00767771" w:rsidP="009F018E">
      <w:pPr>
        <w:pStyle w:val="ListParagraph"/>
        <w:numPr>
          <w:ilvl w:val="0"/>
          <w:numId w:val="29"/>
        </w:numPr>
        <w:ind w:left="851" w:hanging="851"/>
      </w:pPr>
      <w:r w:rsidRPr="00EB35D4">
        <w:t xml:space="preserve">Christiaan W. Huygens </w:t>
      </w:r>
      <w:proofErr w:type="spellStart"/>
      <w:r w:rsidRPr="00EB35D4">
        <w:t>Tholen</w:t>
      </w:r>
      <w:proofErr w:type="spellEnd"/>
      <w:r w:rsidRPr="00EB35D4">
        <w:t>, West End, QLD</w:t>
      </w:r>
    </w:p>
    <w:p w14:paraId="506CFCFE" w14:textId="77777777" w:rsidR="00767771" w:rsidRPr="00EB35D4" w:rsidRDefault="00767771" w:rsidP="009F018E">
      <w:pPr>
        <w:pStyle w:val="ListParagraph"/>
        <w:numPr>
          <w:ilvl w:val="0"/>
          <w:numId w:val="29"/>
        </w:numPr>
        <w:ind w:left="851" w:hanging="851"/>
      </w:pPr>
      <w:proofErr w:type="spellStart"/>
      <w:r w:rsidRPr="00EB35D4">
        <w:t>Velnaar</w:t>
      </w:r>
      <w:proofErr w:type="spellEnd"/>
      <w:r w:rsidRPr="00EB35D4">
        <w:t xml:space="preserve"> Camille, Glaziers Bay, TAS</w:t>
      </w:r>
    </w:p>
    <w:p w14:paraId="00327A9D" w14:textId="77777777" w:rsidR="00767771" w:rsidRPr="00EB35D4" w:rsidRDefault="00767771" w:rsidP="009F018E">
      <w:pPr>
        <w:pStyle w:val="ListParagraph"/>
        <w:numPr>
          <w:ilvl w:val="0"/>
          <w:numId w:val="29"/>
        </w:numPr>
        <w:ind w:left="851" w:hanging="851"/>
      </w:pPr>
      <w:r w:rsidRPr="00EB35D4">
        <w:t>Cooper Travis, Maroochydore, QLD</w:t>
      </w:r>
    </w:p>
    <w:p w14:paraId="2B968073" w14:textId="77777777" w:rsidR="00767771" w:rsidRPr="00EB35D4" w:rsidRDefault="00767771" w:rsidP="009F018E">
      <w:pPr>
        <w:pStyle w:val="ListParagraph"/>
        <w:numPr>
          <w:ilvl w:val="0"/>
          <w:numId w:val="29"/>
        </w:numPr>
        <w:ind w:left="851" w:hanging="851"/>
      </w:pPr>
      <w:proofErr w:type="spellStart"/>
      <w:r w:rsidRPr="00EB35D4">
        <w:lastRenderedPageBreak/>
        <w:t>Deuceney</w:t>
      </w:r>
      <w:proofErr w:type="spellEnd"/>
      <w:r w:rsidRPr="00EB35D4">
        <w:t xml:space="preserve"> Declan, Galway, Ireland</w:t>
      </w:r>
    </w:p>
    <w:p w14:paraId="47CA8416" w14:textId="77777777" w:rsidR="00767771" w:rsidRPr="00EB35D4" w:rsidRDefault="00767771" w:rsidP="009F018E">
      <w:pPr>
        <w:pStyle w:val="ListParagraph"/>
        <w:numPr>
          <w:ilvl w:val="0"/>
          <w:numId w:val="29"/>
        </w:numPr>
        <w:ind w:left="851" w:hanging="851"/>
      </w:pPr>
      <w:r w:rsidRPr="00EB35D4">
        <w:t>J. Sykes, Adelaide, SA</w:t>
      </w:r>
    </w:p>
    <w:p w14:paraId="3F3A0CB8" w14:textId="77777777" w:rsidR="00767771" w:rsidRPr="00EB35D4" w:rsidRDefault="00767771" w:rsidP="009F018E">
      <w:pPr>
        <w:pStyle w:val="ListParagraph"/>
        <w:numPr>
          <w:ilvl w:val="0"/>
          <w:numId w:val="29"/>
        </w:numPr>
        <w:ind w:left="851" w:hanging="851"/>
      </w:pPr>
      <w:r w:rsidRPr="00EB35D4">
        <w:t>Gil Robertson, Port Lincoln, SA</w:t>
      </w:r>
    </w:p>
    <w:p w14:paraId="3106C8AF" w14:textId="77777777" w:rsidR="00767771" w:rsidRPr="00EB35D4" w:rsidRDefault="00767771" w:rsidP="009F018E">
      <w:pPr>
        <w:pStyle w:val="ListParagraph"/>
        <w:numPr>
          <w:ilvl w:val="0"/>
          <w:numId w:val="29"/>
        </w:numPr>
        <w:ind w:left="851" w:hanging="851"/>
      </w:pPr>
      <w:r w:rsidRPr="00EB35D4">
        <w:t xml:space="preserve">Holly </w:t>
      </w:r>
      <w:proofErr w:type="spellStart"/>
      <w:r w:rsidRPr="00EB35D4">
        <w:t>Shiach</w:t>
      </w:r>
      <w:proofErr w:type="spellEnd"/>
      <w:r w:rsidRPr="00EB35D4">
        <w:t>, Sydney, NSW</w:t>
      </w:r>
    </w:p>
    <w:p w14:paraId="6C4DB33E" w14:textId="77777777" w:rsidR="00767771" w:rsidRPr="00EB35D4" w:rsidRDefault="00767771" w:rsidP="009F018E">
      <w:pPr>
        <w:pStyle w:val="ListParagraph"/>
        <w:numPr>
          <w:ilvl w:val="0"/>
          <w:numId w:val="29"/>
        </w:numPr>
        <w:ind w:left="851" w:hanging="851"/>
      </w:pPr>
      <w:r w:rsidRPr="00EB35D4">
        <w:t>Douglas Pye, Newcastle, NSW</w:t>
      </w:r>
    </w:p>
    <w:p w14:paraId="7BE25146" w14:textId="77777777" w:rsidR="00767771" w:rsidRPr="00EB35D4" w:rsidRDefault="00767771" w:rsidP="009F018E">
      <w:pPr>
        <w:pStyle w:val="ListParagraph"/>
        <w:numPr>
          <w:ilvl w:val="0"/>
          <w:numId w:val="29"/>
        </w:numPr>
        <w:ind w:left="851" w:hanging="851"/>
      </w:pPr>
      <w:r w:rsidRPr="00EB35D4">
        <w:t xml:space="preserve">Ute </w:t>
      </w:r>
      <w:proofErr w:type="spellStart"/>
      <w:r w:rsidRPr="00EB35D4">
        <w:t>Goeft</w:t>
      </w:r>
      <w:proofErr w:type="spellEnd"/>
      <w:r w:rsidRPr="00EB35D4">
        <w:t>, Heathridge, WA</w:t>
      </w:r>
    </w:p>
    <w:p w14:paraId="3454DF18" w14:textId="77777777" w:rsidR="00767771" w:rsidRPr="00EB35D4" w:rsidRDefault="00767771" w:rsidP="009F018E">
      <w:pPr>
        <w:pStyle w:val="ListParagraph"/>
        <w:numPr>
          <w:ilvl w:val="0"/>
          <w:numId w:val="29"/>
        </w:numPr>
        <w:ind w:left="851" w:hanging="851"/>
      </w:pPr>
      <w:r w:rsidRPr="00EB35D4">
        <w:t xml:space="preserve">Lucy </w:t>
      </w:r>
      <w:proofErr w:type="spellStart"/>
      <w:r w:rsidRPr="00EB35D4">
        <w:t>Teusner</w:t>
      </w:r>
      <w:proofErr w:type="spellEnd"/>
      <w:r w:rsidRPr="00EB35D4">
        <w:t>, Edenhope, VIC</w:t>
      </w:r>
    </w:p>
    <w:p w14:paraId="36FF6E84" w14:textId="77777777" w:rsidR="00767771" w:rsidRPr="00EB35D4" w:rsidRDefault="00767771" w:rsidP="009F018E">
      <w:pPr>
        <w:pStyle w:val="ListParagraph"/>
        <w:numPr>
          <w:ilvl w:val="0"/>
          <w:numId w:val="29"/>
        </w:numPr>
        <w:ind w:left="851" w:hanging="851"/>
      </w:pPr>
      <w:proofErr w:type="spellStart"/>
      <w:r w:rsidRPr="00EB35D4">
        <w:t>Ailleen</w:t>
      </w:r>
      <w:proofErr w:type="spellEnd"/>
      <w:r w:rsidRPr="00EB35D4">
        <w:t xml:space="preserve"> Leddy, Jannali, NSW</w:t>
      </w:r>
    </w:p>
    <w:p w14:paraId="003F8CC8" w14:textId="77777777" w:rsidR="00767771" w:rsidRPr="00EB35D4" w:rsidRDefault="00767771" w:rsidP="009F018E">
      <w:pPr>
        <w:pStyle w:val="ListParagraph"/>
        <w:numPr>
          <w:ilvl w:val="0"/>
          <w:numId w:val="29"/>
        </w:numPr>
        <w:ind w:left="851" w:hanging="851"/>
      </w:pPr>
      <w:r w:rsidRPr="00EB35D4">
        <w:t xml:space="preserve">Pete </w:t>
      </w:r>
      <w:proofErr w:type="spellStart"/>
      <w:r w:rsidRPr="00EB35D4">
        <w:t>Malicki</w:t>
      </w:r>
      <w:proofErr w:type="spellEnd"/>
      <w:r w:rsidRPr="00EB35D4">
        <w:t>, Sydney, NSW</w:t>
      </w:r>
    </w:p>
    <w:p w14:paraId="21088B6E" w14:textId="77777777" w:rsidR="00767771" w:rsidRPr="00EB35D4" w:rsidRDefault="00767771" w:rsidP="009F018E">
      <w:pPr>
        <w:pStyle w:val="ListParagraph"/>
        <w:numPr>
          <w:ilvl w:val="0"/>
          <w:numId w:val="29"/>
        </w:numPr>
        <w:ind w:left="851" w:hanging="851"/>
      </w:pPr>
      <w:r w:rsidRPr="00EB35D4">
        <w:t>Jocelyn Kingston, Leichhardt, NSW</w:t>
      </w:r>
    </w:p>
    <w:p w14:paraId="5FD9CC55" w14:textId="77777777" w:rsidR="00205CBC" w:rsidRPr="00EB35D4" w:rsidRDefault="00767771" w:rsidP="009F018E">
      <w:pPr>
        <w:pStyle w:val="ListParagraph"/>
        <w:numPr>
          <w:ilvl w:val="0"/>
          <w:numId w:val="29"/>
        </w:numPr>
        <w:ind w:left="851" w:hanging="851"/>
      </w:pPr>
      <w:r w:rsidRPr="00EB35D4">
        <w:t>Peter Brown, Coolum Beach, QLD</w:t>
      </w:r>
    </w:p>
    <w:p w14:paraId="4180CB25" w14:textId="77777777" w:rsidR="00767771" w:rsidRPr="00EB35D4" w:rsidRDefault="00767771" w:rsidP="009F018E">
      <w:pPr>
        <w:pStyle w:val="ListParagraph"/>
        <w:numPr>
          <w:ilvl w:val="0"/>
          <w:numId w:val="29"/>
        </w:numPr>
        <w:ind w:left="851" w:hanging="851"/>
      </w:pPr>
      <w:r w:rsidRPr="00EB35D4">
        <w:t xml:space="preserve">Amanda Sutherland, </w:t>
      </w:r>
      <w:proofErr w:type="spellStart"/>
      <w:r w:rsidRPr="00EB35D4">
        <w:t>Leoplod</w:t>
      </w:r>
      <w:proofErr w:type="spellEnd"/>
      <w:r w:rsidRPr="00EB35D4">
        <w:t>, VIC</w:t>
      </w:r>
    </w:p>
    <w:p w14:paraId="04FE245C" w14:textId="77777777" w:rsidR="00767771" w:rsidRPr="00EB35D4" w:rsidRDefault="00767771" w:rsidP="009F018E">
      <w:pPr>
        <w:pStyle w:val="ListParagraph"/>
        <w:numPr>
          <w:ilvl w:val="0"/>
          <w:numId w:val="29"/>
        </w:numPr>
        <w:ind w:left="851" w:hanging="851"/>
      </w:pPr>
      <w:r w:rsidRPr="00EB35D4">
        <w:t>Kevin Ayres, Millswood, SA</w:t>
      </w:r>
    </w:p>
    <w:p w14:paraId="24C58FB3" w14:textId="77777777" w:rsidR="00767771" w:rsidRPr="00EB35D4" w:rsidRDefault="00767771" w:rsidP="009F018E">
      <w:pPr>
        <w:pStyle w:val="ListParagraph"/>
        <w:numPr>
          <w:ilvl w:val="0"/>
          <w:numId w:val="29"/>
        </w:numPr>
        <w:ind w:left="851" w:hanging="851"/>
      </w:pPr>
      <w:proofErr w:type="spellStart"/>
      <w:r w:rsidRPr="00EB35D4">
        <w:t>Craige</w:t>
      </w:r>
      <w:proofErr w:type="spellEnd"/>
      <w:r w:rsidRPr="00EB35D4">
        <w:t xml:space="preserve"> McWhirter, Surry Hills, NSW</w:t>
      </w:r>
    </w:p>
    <w:p w14:paraId="4A269B4C" w14:textId="77777777" w:rsidR="00767771" w:rsidRPr="00EB35D4" w:rsidRDefault="00767771" w:rsidP="009F018E">
      <w:pPr>
        <w:pStyle w:val="ListParagraph"/>
        <w:numPr>
          <w:ilvl w:val="0"/>
          <w:numId w:val="29"/>
        </w:numPr>
        <w:ind w:left="851" w:hanging="851"/>
      </w:pPr>
      <w:r w:rsidRPr="00EB35D4">
        <w:t>Lisa Formosa, Ringwood, VIC</w:t>
      </w:r>
    </w:p>
    <w:p w14:paraId="46208136" w14:textId="77777777" w:rsidR="00767771" w:rsidRPr="00EB35D4" w:rsidRDefault="00767771" w:rsidP="009F018E">
      <w:pPr>
        <w:pStyle w:val="ListParagraph"/>
        <w:numPr>
          <w:ilvl w:val="0"/>
          <w:numId w:val="29"/>
        </w:numPr>
        <w:ind w:left="851" w:hanging="851"/>
      </w:pPr>
      <w:r w:rsidRPr="00EB35D4">
        <w:t xml:space="preserve">Maureen </w:t>
      </w:r>
      <w:proofErr w:type="spellStart"/>
      <w:proofErr w:type="gramStart"/>
      <w:r w:rsidRPr="00EB35D4">
        <w:t>McNab,Glenroy</w:t>
      </w:r>
      <w:proofErr w:type="spellEnd"/>
      <w:proofErr w:type="gramEnd"/>
      <w:r w:rsidRPr="00EB35D4">
        <w:t>, VIC</w:t>
      </w:r>
    </w:p>
    <w:p w14:paraId="6809BCD9" w14:textId="77777777" w:rsidR="00767771" w:rsidRPr="00EB35D4" w:rsidRDefault="00767771" w:rsidP="009F018E">
      <w:pPr>
        <w:pStyle w:val="ListParagraph"/>
        <w:numPr>
          <w:ilvl w:val="0"/>
          <w:numId w:val="29"/>
        </w:numPr>
        <w:ind w:left="851" w:hanging="851"/>
      </w:pPr>
      <w:r w:rsidRPr="00EB35D4">
        <w:t>Mark, Sydney, NSW</w:t>
      </w:r>
    </w:p>
    <w:p w14:paraId="589EAE91" w14:textId="77777777" w:rsidR="00767771" w:rsidRPr="00EB35D4" w:rsidRDefault="00767771" w:rsidP="009F018E">
      <w:pPr>
        <w:pStyle w:val="ListParagraph"/>
        <w:numPr>
          <w:ilvl w:val="0"/>
          <w:numId w:val="29"/>
        </w:numPr>
        <w:ind w:left="851" w:hanging="851"/>
      </w:pPr>
      <w:r w:rsidRPr="00EB35D4">
        <w:t xml:space="preserve">Desiree Kozlowski, </w:t>
      </w:r>
      <w:proofErr w:type="spellStart"/>
      <w:r w:rsidRPr="00EB35D4">
        <w:t>Saphire</w:t>
      </w:r>
      <w:proofErr w:type="spellEnd"/>
      <w:r w:rsidRPr="00EB35D4">
        <w:t xml:space="preserve"> Beach, NSW</w:t>
      </w:r>
    </w:p>
    <w:p w14:paraId="5A9BD36E" w14:textId="77777777" w:rsidR="00767771" w:rsidRPr="00EB35D4" w:rsidRDefault="00767771" w:rsidP="009F018E">
      <w:pPr>
        <w:pStyle w:val="ListParagraph"/>
        <w:numPr>
          <w:ilvl w:val="0"/>
          <w:numId w:val="29"/>
        </w:numPr>
        <w:ind w:left="851" w:hanging="851"/>
      </w:pPr>
      <w:r w:rsidRPr="00EB35D4">
        <w:t xml:space="preserve">Francesca </w:t>
      </w:r>
      <w:proofErr w:type="spellStart"/>
      <w:r w:rsidRPr="00EB35D4">
        <w:t>Vuillemin</w:t>
      </w:r>
      <w:proofErr w:type="spellEnd"/>
      <w:r w:rsidRPr="00EB35D4">
        <w:t>, Sydney, NSW</w:t>
      </w:r>
    </w:p>
    <w:p w14:paraId="270B0C3D" w14:textId="77777777" w:rsidR="00767771" w:rsidRPr="00EB35D4" w:rsidRDefault="00767771" w:rsidP="009F018E">
      <w:pPr>
        <w:pStyle w:val="ListParagraph"/>
        <w:numPr>
          <w:ilvl w:val="0"/>
          <w:numId w:val="29"/>
        </w:numPr>
        <w:ind w:left="851" w:hanging="851"/>
      </w:pPr>
      <w:proofErr w:type="spellStart"/>
      <w:r w:rsidRPr="00EB35D4">
        <w:t>Aillin</w:t>
      </w:r>
      <w:proofErr w:type="spellEnd"/>
      <w:r w:rsidRPr="00EB35D4">
        <w:t xml:space="preserve"> O’Brien, Pine Grove, VIC</w:t>
      </w:r>
    </w:p>
    <w:p w14:paraId="6DE13B80" w14:textId="77777777" w:rsidR="00767771" w:rsidRPr="00EB35D4" w:rsidRDefault="00767771" w:rsidP="009F018E">
      <w:pPr>
        <w:pStyle w:val="ListParagraph"/>
        <w:numPr>
          <w:ilvl w:val="0"/>
          <w:numId w:val="29"/>
        </w:numPr>
        <w:ind w:left="851" w:hanging="851"/>
      </w:pPr>
      <w:r w:rsidRPr="00EB35D4">
        <w:t>Isobel Lindley, Sydney, NSW</w:t>
      </w:r>
    </w:p>
    <w:p w14:paraId="74B4984E" w14:textId="77777777" w:rsidR="00767771" w:rsidRPr="00EB35D4" w:rsidRDefault="00767771" w:rsidP="009F018E">
      <w:pPr>
        <w:pStyle w:val="ListParagraph"/>
        <w:numPr>
          <w:ilvl w:val="0"/>
          <w:numId w:val="29"/>
        </w:numPr>
        <w:ind w:left="851" w:hanging="851"/>
      </w:pPr>
      <w:r w:rsidRPr="00EB35D4">
        <w:t xml:space="preserve">Kellie </w:t>
      </w:r>
      <w:proofErr w:type="spellStart"/>
      <w:r w:rsidRPr="00EB35D4">
        <w:t>Otes</w:t>
      </w:r>
      <w:proofErr w:type="spellEnd"/>
      <w:r w:rsidRPr="00EB35D4">
        <w:t>, Bangor, NSW</w:t>
      </w:r>
    </w:p>
    <w:p w14:paraId="4F43DD73" w14:textId="77777777" w:rsidR="00767771" w:rsidRPr="00EB35D4" w:rsidRDefault="00767771" w:rsidP="009F018E">
      <w:pPr>
        <w:pStyle w:val="ListParagraph"/>
        <w:numPr>
          <w:ilvl w:val="0"/>
          <w:numId w:val="29"/>
        </w:numPr>
        <w:ind w:left="851" w:hanging="851"/>
      </w:pPr>
      <w:r w:rsidRPr="00EB35D4">
        <w:t>Benjamin Tancred, Willoughby, NSW</w:t>
      </w:r>
    </w:p>
    <w:p w14:paraId="79935B04" w14:textId="77777777" w:rsidR="00767771" w:rsidRPr="00EB35D4" w:rsidRDefault="00767771" w:rsidP="009F018E">
      <w:pPr>
        <w:pStyle w:val="ListParagraph"/>
        <w:numPr>
          <w:ilvl w:val="0"/>
          <w:numId w:val="29"/>
        </w:numPr>
        <w:ind w:left="851" w:hanging="851"/>
      </w:pPr>
      <w:r w:rsidRPr="00EB35D4">
        <w:t>Deb Bower, Carlton, VIC</w:t>
      </w:r>
    </w:p>
    <w:p w14:paraId="2517AB48" w14:textId="77777777" w:rsidR="00767771" w:rsidRPr="00EB35D4" w:rsidRDefault="00767771" w:rsidP="009F018E">
      <w:pPr>
        <w:pStyle w:val="ListParagraph"/>
        <w:numPr>
          <w:ilvl w:val="0"/>
          <w:numId w:val="29"/>
        </w:numPr>
        <w:ind w:left="851" w:hanging="851"/>
      </w:pPr>
      <w:r w:rsidRPr="00EB35D4">
        <w:t>Ann-Marie Denham, Carlton, VIC</w:t>
      </w:r>
    </w:p>
    <w:p w14:paraId="1812A254" w14:textId="77777777" w:rsidR="00767771" w:rsidRPr="00EB35D4" w:rsidRDefault="00767771" w:rsidP="009F018E">
      <w:pPr>
        <w:pStyle w:val="ListParagraph"/>
        <w:numPr>
          <w:ilvl w:val="0"/>
          <w:numId w:val="29"/>
        </w:numPr>
        <w:ind w:left="851" w:hanging="851"/>
      </w:pPr>
      <w:r w:rsidRPr="00EB35D4">
        <w:t xml:space="preserve">Ruth </w:t>
      </w:r>
      <w:proofErr w:type="spellStart"/>
      <w:r w:rsidRPr="00EB35D4">
        <w:t>Gilovitz</w:t>
      </w:r>
      <w:proofErr w:type="spellEnd"/>
      <w:r w:rsidRPr="00EB35D4">
        <w:t>, Perth, WA</w:t>
      </w:r>
    </w:p>
    <w:p w14:paraId="1DEA3AB2" w14:textId="77777777" w:rsidR="00767771" w:rsidRPr="00EB35D4" w:rsidRDefault="00767771" w:rsidP="009F018E">
      <w:pPr>
        <w:pStyle w:val="ListParagraph"/>
        <w:numPr>
          <w:ilvl w:val="0"/>
          <w:numId w:val="29"/>
        </w:numPr>
        <w:ind w:left="851" w:hanging="851"/>
      </w:pPr>
      <w:r w:rsidRPr="00EB35D4">
        <w:t>Stacey Nelson, Sydney, NSW</w:t>
      </w:r>
    </w:p>
    <w:p w14:paraId="3DDA91C3" w14:textId="77777777" w:rsidR="00767771" w:rsidRPr="00EB35D4" w:rsidRDefault="00767771" w:rsidP="009F018E">
      <w:pPr>
        <w:pStyle w:val="ListParagraph"/>
        <w:numPr>
          <w:ilvl w:val="0"/>
          <w:numId w:val="29"/>
        </w:numPr>
        <w:ind w:left="851" w:hanging="851"/>
      </w:pPr>
      <w:r w:rsidRPr="00EB35D4">
        <w:t>Shane Paxton, Melbourne, VIC</w:t>
      </w:r>
    </w:p>
    <w:p w14:paraId="0516AA2E" w14:textId="77777777" w:rsidR="00767771" w:rsidRPr="00EB35D4" w:rsidRDefault="00767771" w:rsidP="009F018E">
      <w:pPr>
        <w:pStyle w:val="ListParagraph"/>
        <w:numPr>
          <w:ilvl w:val="0"/>
          <w:numId w:val="29"/>
        </w:numPr>
        <w:ind w:left="851" w:hanging="851"/>
      </w:pPr>
      <w:r w:rsidRPr="00EB35D4">
        <w:t>Damon Roberts, Maroochydore, QLD</w:t>
      </w:r>
    </w:p>
    <w:p w14:paraId="518B4D00" w14:textId="77777777" w:rsidR="00767771" w:rsidRPr="00EB35D4" w:rsidRDefault="00767771" w:rsidP="009F018E">
      <w:pPr>
        <w:pStyle w:val="ListParagraph"/>
        <w:numPr>
          <w:ilvl w:val="0"/>
          <w:numId w:val="29"/>
        </w:numPr>
        <w:ind w:left="851" w:hanging="851"/>
      </w:pPr>
      <w:r w:rsidRPr="00EB35D4">
        <w:t xml:space="preserve">Donna </w:t>
      </w:r>
      <w:proofErr w:type="spellStart"/>
      <w:r w:rsidRPr="00EB35D4">
        <w:t>Taanman</w:t>
      </w:r>
      <w:proofErr w:type="spellEnd"/>
      <w:r w:rsidRPr="00EB35D4">
        <w:t>, Hunter’s Hill, NSW</w:t>
      </w:r>
    </w:p>
    <w:p w14:paraId="6815CBDE" w14:textId="77777777" w:rsidR="00767771" w:rsidRPr="00EB35D4" w:rsidRDefault="00767771" w:rsidP="009F018E">
      <w:pPr>
        <w:pStyle w:val="ListParagraph"/>
        <w:numPr>
          <w:ilvl w:val="0"/>
          <w:numId w:val="29"/>
        </w:numPr>
        <w:ind w:left="851" w:hanging="851"/>
      </w:pPr>
      <w:r w:rsidRPr="00EB35D4">
        <w:t>Mal Haskins, Melbourne, VIC</w:t>
      </w:r>
    </w:p>
    <w:p w14:paraId="273AFFCE" w14:textId="77777777" w:rsidR="00767771" w:rsidRPr="00EB35D4" w:rsidRDefault="00767771" w:rsidP="009F018E">
      <w:pPr>
        <w:pStyle w:val="ListParagraph"/>
        <w:numPr>
          <w:ilvl w:val="0"/>
          <w:numId w:val="29"/>
        </w:numPr>
        <w:ind w:left="851" w:hanging="851"/>
      </w:pPr>
      <w:r w:rsidRPr="00EB35D4">
        <w:t xml:space="preserve">Jasper </w:t>
      </w:r>
      <w:proofErr w:type="spellStart"/>
      <w:r w:rsidRPr="00EB35D4">
        <w:t>Taanman</w:t>
      </w:r>
      <w:proofErr w:type="spellEnd"/>
      <w:r w:rsidRPr="00EB35D4">
        <w:t>, Hunter’s Hill, NSW</w:t>
      </w:r>
    </w:p>
    <w:p w14:paraId="1D745ADA" w14:textId="77777777" w:rsidR="00767771" w:rsidRPr="00EB35D4" w:rsidRDefault="00767771" w:rsidP="009F018E">
      <w:pPr>
        <w:pStyle w:val="ListParagraph"/>
        <w:numPr>
          <w:ilvl w:val="0"/>
          <w:numId w:val="29"/>
        </w:numPr>
        <w:ind w:left="851" w:hanging="851"/>
      </w:pPr>
      <w:r w:rsidRPr="00EB35D4">
        <w:t>Bridget Leggett, Toodyay, WA</w:t>
      </w:r>
    </w:p>
    <w:p w14:paraId="13CE2EF2" w14:textId="77777777" w:rsidR="00767771" w:rsidRPr="00EB35D4" w:rsidRDefault="00767771" w:rsidP="009F018E">
      <w:pPr>
        <w:pStyle w:val="ListParagraph"/>
        <w:numPr>
          <w:ilvl w:val="0"/>
          <w:numId w:val="29"/>
        </w:numPr>
        <w:ind w:left="851" w:hanging="851"/>
      </w:pPr>
      <w:r w:rsidRPr="00EB35D4">
        <w:t>Brett Drayton, Enmore, NSW</w:t>
      </w:r>
    </w:p>
    <w:p w14:paraId="67EBB3E8" w14:textId="77777777" w:rsidR="00767771" w:rsidRPr="00EB35D4" w:rsidRDefault="00767771" w:rsidP="009F018E">
      <w:pPr>
        <w:pStyle w:val="ListParagraph"/>
        <w:numPr>
          <w:ilvl w:val="0"/>
          <w:numId w:val="29"/>
        </w:numPr>
        <w:ind w:left="851" w:hanging="851"/>
      </w:pPr>
      <w:r w:rsidRPr="00EB35D4">
        <w:t>Nicola Worth, Sydney, NSW</w:t>
      </w:r>
    </w:p>
    <w:p w14:paraId="5861BBBF" w14:textId="77777777" w:rsidR="00767771" w:rsidRPr="00EB35D4" w:rsidRDefault="00767771" w:rsidP="009F018E">
      <w:pPr>
        <w:pStyle w:val="ListParagraph"/>
        <w:numPr>
          <w:ilvl w:val="0"/>
          <w:numId w:val="29"/>
        </w:numPr>
        <w:ind w:left="851" w:hanging="851"/>
      </w:pPr>
      <w:r w:rsidRPr="00EB35D4">
        <w:t xml:space="preserve">Matthew </w:t>
      </w:r>
      <w:proofErr w:type="spellStart"/>
      <w:r w:rsidRPr="00EB35D4">
        <w:t>Syres</w:t>
      </w:r>
      <w:proofErr w:type="spellEnd"/>
      <w:r w:rsidRPr="00EB35D4">
        <w:t>, Newton, NSW</w:t>
      </w:r>
    </w:p>
    <w:p w14:paraId="386C80E1" w14:textId="77777777" w:rsidR="00767771" w:rsidRPr="00EB35D4" w:rsidRDefault="00767771" w:rsidP="009F018E">
      <w:pPr>
        <w:pStyle w:val="ListParagraph"/>
        <w:numPr>
          <w:ilvl w:val="0"/>
          <w:numId w:val="29"/>
        </w:numPr>
        <w:ind w:left="851" w:hanging="851"/>
      </w:pPr>
      <w:r w:rsidRPr="00EB35D4">
        <w:t>Glenda Lindsay, Melbourne, VIC</w:t>
      </w:r>
    </w:p>
    <w:p w14:paraId="35990032" w14:textId="77777777" w:rsidR="00767771" w:rsidRPr="00EB35D4" w:rsidRDefault="00767771" w:rsidP="009F018E">
      <w:pPr>
        <w:pStyle w:val="ListParagraph"/>
        <w:numPr>
          <w:ilvl w:val="0"/>
          <w:numId w:val="29"/>
        </w:numPr>
        <w:ind w:left="851" w:hanging="851"/>
      </w:pPr>
      <w:r w:rsidRPr="00EB35D4">
        <w:t xml:space="preserve">Martina Meckel, </w:t>
      </w:r>
      <w:proofErr w:type="spellStart"/>
      <w:r w:rsidRPr="00EB35D4">
        <w:t>Crows</w:t>
      </w:r>
      <w:proofErr w:type="spellEnd"/>
      <w:r w:rsidRPr="00EB35D4">
        <w:t xml:space="preserve"> Nest, NSW</w:t>
      </w:r>
    </w:p>
    <w:p w14:paraId="49A94A71" w14:textId="77777777" w:rsidR="00767771" w:rsidRPr="00EB35D4" w:rsidRDefault="00767771" w:rsidP="009F018E">
      <w:pPr>
        <w:pStyle w:val="ListParagraph"/>
        <w:numPr>
          <w:ilvl w:val="0"/>
          <w:numId w:val="29"/>
        </w:numPr>
        <w:ind w:left="851" w:hanging="851"/>
      </w:pPr>
      <w:r w:rsidRPr="00EB35D4">
        <w:t>Hayley Thompson, Joondanna, WA</w:t>
      </w:r>
    </w:p>
    <w:p w14:paraId="7E99A771" w14:textId="77777777" w:rsidR="00767771" w:rsidRPr="00EB35D4" w:rsidRDefault="00767771" w:rsidP="009F018E">
      <w:pPr>
        <w:pStyle w:val="ListParagraph"/>
        <w:numPr>
          <w:ilvl w:val="0"/>
          <w:numId w:val="29"/>
        </w:numPr>
        <w:ind w:left="851" w:hanging="851"/>
      </w:pPr>
      <w:r w:rsidRPr="00EB35D4">
        <w:t xml:space="preserve">Andrea </w:t>
      </w:r>
      <w:proofErr w:type="spellStart"/>
      <w:r w:rsidRPr="00EB35D4">
        <w:t>Borbas</w:t>
      </w:r>
      <w:proofErr w:type="spellEnd"/>
      <w:r w:rsidRPr="00EB35D4">
        <w:t xml:space="preserve">, </w:t>
      </w:r>
      <w:proofErr w:type="spellStart"/>
      <w:r w:rsidRPr="00EB35D4">
        <w:t>Tawoomba</w:t>
      </w:r>
      <w:proofErr w:type="spellEnd"/>
      <w:r w:rsidRPr="00EB35D4">
        <w:t>, QLD</w:t>
      </w:r>
    </w:p>
    <w:p w14:paraId="67B98472" w14:textId="77777777" w:rsidR="00767771" w:rsidRPr="00EB35D4" w:rsidRDefault="00767771" w:rsidP="009F018E">
      <w:pPr>
        <w:pStyle w:val="ListParagraph"/>
        <w:numPr>
          <w:ilvl w:val="0"/>
          <w:numId w:val="29"/>
        </w:numPr>
        <w:ind w:left="851" w:hanging="851"/>
      </w:pPr>
      <w:r w:rsidRPr="00EB35D4">
        <w:t xml:space="preserve">Mrs Z </w:t>
      </w:r>
      <w:proofErr w:type="spellStart"/>
      <w:r w:rsidRPr="00EB35D4">
        <w:t>Vallings</w:t>
      </w:r>
      <w:proofErr w:type="spellEnd"/>
      <w:r w:rsidRPr="00EB35D4">
        <w:t xml:space="preserve">, </w:t>
      </w:r>
      <w:proofErr w:type="spellStart"/>
      <w:r w:rsidRPr="00EB35D4">
        <w:t>Whangerei</w:t>
      </w:r>
      <w:proofErr w:type="spellEnd"/>
      <w:r w:rsidRPr="00EB35D4">
        <w:t>, NZ</w:t>
      </w:r>
    </w:p>
    <w:p w14:paraId="531B06EB" w14:textId="77777777" w:rsidR="00767771" w:rsidRPr="00EB35D4" w:rsidRDefault="00767771" w:rsidP="009F018E">
      <w:pPr>
        <w:pStyle w:val="ListParagraph"/>
        <w:numPr>
          <w:ilvl w:val="0"/>
          <w:numId w:val="29"/>
        </w:numPr>
        <w:ind w:left="851" w:hanging="851"/>
      </w:pPr>
      <w:r w:rsidRPr="00EB35D4">
        <w:t>Louise Sales, Harbord, NSW</w:t>
      </w:r>
    </w:p>
    <w:p w14:paraId="4EE548BA" w14:textId="77777777" w:rsidR="00767771" w:rsidRPr="00EB35D4" w:rsidRDefault="00767771" w:rsidP="009F018E">
      <w:pPr>
        <w:pStyle w:val="ListParagraph"/>
        <w:numPr>
          <w:ilvl w:val="0"/>
          <w:numId w:val="29"/>
        </w:numPr>
        <w:ind w:left="851" w:hanging="851"/>
      </w:pPr>
      <w:r w:rsidRPr="00EB35D4">
        <w:t xml:space="preserve">Annemarie Manners, </w:t>
      </w:r>
      <w:proofErr w:type="spellStart"/>
      <w:r w:rsidRPr="00EB35D4">
        <w:t>Tawoomba</w:t>
      </w:r>
      <w:proofErr w:type="spellEnd"/>
      <w:r w:rsidRPr="00EB35D4">
        <w:t>, QLD</w:t>
      </w:r>
    </w:p>
    <w:p w14:paraId="4D23DBDD" w14:textId="77777777" w:rsidR="00767771" w:rsidRPr="00EB35D4" w:rsidRDefault="00767771" w:rsidP="009F018E">
      <w:pPr>
        <w:pStyle w:val="ListParagraph"/>
        <w:numPr>
          <w:ilvl w:val="0"/>
          <w:numId w:val="29"/>
        </w:numPr>
        <w:ind w:left="851" w:hanging="851"/>
      </w:pPr>
      <w:r w:rsidRPr="00EB35D4">
        <w:t>Kerry Forrest, Launceston, TAS</w:t>
      </w:r>
    </w:p>
    <w:p w14:paraId="73B69462" w14:textId="77777777" w:rsidR="0077009D" w:rsidRPr="00EB35D4" w:rsidRDefault="003E3578" w:rsidP="009F018E">
      <w:pPr>
        <w:pStyle w:val="ListParagraph"/>
        <w:numPr>
          <w:ilvl w:val="0"/>
          <w:numId w:val="29"/>
        </w:numPr>
        <w:ind w:left="851" w:hanging="851"/>
      </w:pPr>
      <w:r w:rsidRPr="00EB35D4">
        <w:t>Alyssa Tait, Salisbury, QLD</w:t>
      </w:r>
    </w:p>
    <w:p w14:paraId="3E677168" w14:textId="77777777" w:rsidR="0077009D" w:rsidRPr="00EB35D4" w:rsidRDefault="003E3578" w:rsidP="009F018E">
      <w:pPr>
        <w:pStyle w:val="ListParagraph"/>
        <w:numPr>
          <w:ilvl w:val="0"/>
          <w:numId w:val="29"/>
        </w:numPr>
        <w:ind w:left="851" w:hanging="851"/>
      </w:pPr>
      <w:r w:rsidRPr="00EB35D4">
        <w:t>Kara Vandeleur, Wellington, NZ</w:t>
      </w:r>
    </w:p>
    <w:p w14:paraId="21767BB9" w14:textId="77777777" w:rsidR="0077009D" w:rsidRPr="00EB35D4" w:rsidRDefault="003E3578" w:rsidP="009F018E">
      <w:pPr>
        <w:pStyle w:val="ListParagraph"/>
        <w:numPr>
          <w:ilvl w:val="0"/>
          <w:numId w:val="29"/>
        </w:numPr>
        <w:ind w:left="851" w:hanging="851"/>
      </w:pPr>
      <w:r w:rsidRPr="00EB35D4">
        <w:t>Craig Walker, Sydney, NSW</w:t>
      </w:r>
    </w:p>
    <w:p w14:paraId="597532FC" w14:textId="77777777" w:rsidR="0077009D" w:rsidRPr="00EB35D4" w:rsidRDefault="003E3578" w:rsidP="009F018E">
      <w:pPr>
        <w:pStyle w:val="ListParagraph"/>
        <w:numPr>
          <w:ilvl w:val="0"/>
          <w:numId w:val="29"/>
        </w:numPr>
        <w:ind w:left="851" w:hanging="851"/>
      </w:pPr>
      <w:r w:rsidRPr="00EB35D4">
        <w:t>Wendy Gooding, Brisbane, QLD</w:t>
      </w:r>
    </w:p>
    <w:p w14:paraId="0031D208" w14:textId="77777777" w:rsidR="0077009D" w:rsidRPr="00EB35D4" w:rsidRDefault="003E3578" w:rsidP="009F018E">
      <w:pPr>
        <w:pStyle w:val="ListParagraph"/>
        <w:numPr>
          <w:ilvl w:val="0"/>
          <w:numId w:val="29"/>
        </w:numPr>
        <w:ind w:left="851" w:hanging="851"/>
      </w:pPr>
      <w:r w:rsidRPr="00EB35D4">
        <w:lastRenderedPageBreak/>
        <w:t>Tania, Brisbane, QLD</w:t>
      </w:r>
    </w:p>
    <w:p w14:paraId="12532047" w14:textId="77777777" w:rsidR="0077009D" w:rsidRPr="00EB35D4" w:rsidRDefault="003E3578" w:rsidP="009F018E">
      <w:pPr>
        <w:pStyle w:val="ListParagraph"/>
        <w:numPr>
          <w:ilvl w:val="0"/>
          <w:numId w:val="29"/>
        </w:numPr>
        <w:ind w:left="851" w:hanging="851"/>
      </w:pPr>
      <w:r w:rsidRPr="00EB35D4">
        <w:t>Virginia, Main Ridge, VIC</w:t>
      </w:r>
    </w:p>
    <w:p w14:paraId="1A09ED15" w14:textId="77777777" w:rsidR="0077009D" w:rsidRPr="00EB35D4" w:rsidRDefault="003E3578" w:rsidP="009F018E">
      <w:pPr>
        <w:pStyle w:val="ListParagraph"/>
        <w:numPr>
          <w:ilvl w:val="0"/>
          <w:numId w:val="29"/>
        </w:numPr>
        <w:ind w:left="851" w:hanging="851"/>
      </w:pPr>
      <w:r w:rsidRPr="00EB35D4">
        <w:t>Rachel Honey, QLD</w:t>
      </w:r>
    </w:p>
    <w:p w14:paraId="09D903B3" w14:textId="77777777" w:rsidR="0077009D" w:rsidRPr="00EB35D4" w:rsidRDefault="003E3578" w:rsidP="009F018E">
      <w:pPr>
        <w:pStyle w:val="ListParagraph"/>
        <w:numPr>
          <w:ilvl w:val="0"/>
          <w:numId w:val="29"/>
        </w:numPr>
        <w:ind w:left="851" w:hanging="851"/>
      </w:pPr>
      <w:r w:rsidRPr="00EB35D4">
        <w:t>Paula Lambert, Mooloolah, NZ</w:t>
      </w:r>
    </w:p>
    <w:p w14:paraId="656F911F" w14:textId="77777777" w:rsidR="0077009D" w:rsidRPr="00EB35D4" w:rsidRDefault="003E3578" w:rsidP="009F018E">
      <w:pPr>
        <w:pStyle w:val="ListParagraph"/>
        <w:numPr>
          <w:ilvl w:val="0"/>
          <w:numId w:val="29"/>
        </w:numPr>
        <w:ind w:left="851" w:hanging="851"/>
      </w:pPr>
      <w:r w:rsidRPr="00EB35D4">
        <w:t xml:space="preserve">Tony </w:t>
      </w:r>
      <w:proofErr w:type="spellStart"/>
      <w:r w:rsidRPr="00EB35D4">
        <w:t>Cosentino</w:t>
      </w:r>
      <w:proofErr w:type="spellEnd"/>
      <w:r w:rsidRPr="00EB35D4">
        <w:t>, Dandenong, VIC</w:t>
      </w:r>
    </w:p>
    <w:p w14:paraId="041F2CE9" w14:textId="77777777" w:rsidR="0077009D" w:rsidRPr="00EB35D4" w:rsidRDefault="003E3578" w:rsidP="009F018E">
      <w:pPr>
        <w:pStyle w:val="ListParagraph"/>
        <w:numPr>
          <w:ilvl w:val="0"/>
          <w:numId w:val="29"/>
        </w:numPr>
        <w:ind w:left="851" w:hanging="851"/>
      </w:pPr>
      <w:r w:rsidRPr="00EB35D4">
        <w:t>Valerie Thompson, Lismore, NSW</w:t>
      </w:r>
    </w:p>
    <w:p w14:paraId="3B0A99BF" w14:textId="77777777" w:rsidR="0077009D" w:rsidRPr="00EB35D4" w:rsidRDefault="003E3578" w:rsidP="009F018E">
      <w:pPr>
        <w:pStyle w:val="ListParagraph"/>
        <w:numPr>
          <w:ilvl w:val="0"/>
          <w:numId w:val="29"/>
        </w:numPr>
        <w:ind w:left="851" w:hanging="851"/>
      </w:pPr>
      <w:r w:rsidRPr="00EB35D4">
        <w:t xml:space="preserve">Peter </w:t>
      </w:r>
      <w:proofErr w:type="spellStart"/>
      <w:r w:rsidRPr="00EB35D4">
        <w:t>Gringinger</w:t>
      </w:r>
      <w:proofErr w:type="spellEnd"/>
      <w:r w:rsidRPr="00EB35D4">
        <w:t>, Sassafras, VIC</w:t>
      </w:r>
    </w:p>
    <w:p w14:paraId="20B90995" w14:textId="77777777" w:rsidR="0077009D" w:rsidRPr="00EB35D4" w:rsidRDefault="003E3578" w:rsidP="009F018E">
      <w:pPr>
        <w:pStyle w:val="ListParagraph"/>
        <w:numPr>
          <w:ilvl w:val="0"/>
          <w:numId w:val="29"/>
        </w:numPr>
        <w:ind w:left="851" w:hanging="851"/>
      </w:pPr>
      <w:r w:rsidRPr="00EB35D4">
        <w:t>Lynne Forster, Sandy Bay, TAS</w:t>
      </w:r>
    </w:p>
    <w:p w14:paraId="75B160C2" w14:textId="77777777" w:rsidR="0077009D" w:rsidRPr="00EB35D4" w:rsidRDefault="003E3578" w:rsidP="009F018E">
      <w:pPr>
        <w:pStyle w:val="ListParagraph"/>
        <w:numPr>
          <w:ilvl w:val="0"/>
          <w:numId w:val="29"/>
        </w:numPr>
        <w:ind w:left="851" w:hanging="851"/>
      </w:pPr>
      <w:r w:rsidRPr="00EB35D4">
        <w:t>Tim Gentle, Page, ACT</w:t>
      </w:r>
    </w:p>
    <w:p w14:paraId="30D9E531" w14:textId="77777777" w:rsidR="00875E8F" w:rsidRPr="00EB35D4" w:rsidRDefault="003E3578" w:rsidP="009F018E">
      <w:pPr>
        <w:pStyle w:val="ListParagraph"/>
        <w:numPr>
          <w:ilvl w:val="0"/>
          <w:numId w:val="29"/>
        </w:numPr>
        <w:ind w:left="851" w:hanging="851"/>
      </w:pPr>
      <w:r w:rsidRPr="00EB35D4">
        <w:t>Sue Hathaway, Jurien Bay, WA</w:t>
      </w:r>
    </w:p>
    <w:p w14:paraId="323A663D" w14:textId="77777777" w:rsidR="00875E8F" w:rsidRPr="00EB35D4" w:rsidRDefault="003E3578" w:rsidP="009F018E">
      <w:pPr>
        <w:pStyle w:val="ListParagraph"/>
        <w:numPr>
          <w:ilvl w:val="0"/>
          <w:numId w:val="29"/>
        </w:numPr>
        <w:ind w:left="851" w:hanging="851"/>
      </w:pPr>
      <w:r w:rsidRPr="00EB35D4">
        <w:t>Sarah Neal, Sydney, NSW</w:t>
      </w:r>
    </w:p>
    <w:p w14:paraId="0570F90C" w14:textId="7EDFBF6D" w:rsidR="00875E8F" w:rsidRPr="00EB35D4" w:rsidRDefault="003E3578" w:rsidP="009F018E">
      <w:pPr>
        <w:pStyle w:val="ListParagraph"/>
        <w:numPr>
          <w:ilvl w:val="0"/>
          <w:numId w:val="29"/>
        </w:numPr>
        <w:ind w:left="851" w:hanging="851"/>
      </w:pPr>
      <w:proofErr w:type="spellStart"/>
      <w:r w:rsidRPr="00EB35D4">
        <w:t>Leahna</w:t>
      </w:r>
      <w:proofErr w:type="spellEnd"/>
      <w:r w:rsidRPr="00EB35D4">
        <w:t xml:space="preserve"> Hardie, Upper Hutt, NZ</w:t>
      </w:r>
    </w:p>
    <w:p w14:paraId="5A0EEE64" w14:textId="77777777" w:rsidR="00875E8F" w:rsidRPr="00EB35D4" w:rsidRDefault="003E3578" w:rsidP="009F018E">
      <w:pPr>
        <w:pStyle w:val="ListParagraph"/>
        <w:numPr>
          <w:ilvl w:val="0"/>
          <w:numId w:val="29"/>
        </w:numPr>
        <w:ind w:left="851" w:hanging="851"/>
      </w:pPr>
      <w:r w:rsidRPr="00EB35D4">
        <w:t>Jon Muller, Lower Hutt, NZ</w:t>
      </w:r>
    </w:p>
    <w:p w14:paraId="09DC528A" w14:textId="74F8BE5A" w:rsidR="00875E8F" w:rsidRPr="00EB35D4" w:rsidRDefault="003E3578" w:rsidP="009F018E">
      <w:pPr>
        <w:pStyle w:val="ListParagraph"/>
        <w:numPr>
          <w:ilvl w:val="0"/>
          <w:numId w:val="29"/>
        </w:numPr>
        <w:ind w:left="851" w:hanging="851"/>
      </w:pPr>
      <w:r w:rsidRPr="00EB35D4">
        <w:t>Anastasia Turnbull, Wellington, NZ</w:t>
      </w:r>
    </w:p>
    <w:p w14:paraId="6457344C" w14:textId="77777777" w:rsidR="00875E8F" w:rsidRPr="00EB35D4" w:rsidRDefault="003E3578" w:rsidP="009F018E">
      <w:pPr>
        <w:pStyle w:val="ListParagraph"/>
        <w:numPr>
          <w:ilvl w:val="0"/>
          <w:numId w:val="29"/>
        </w:numPr>
        <w:ind w:left="851" w:hanging="851"/>
      </w:pPr>
      <w:r w:rsidRPr="00EB35D4">
        <w:t>Dr Robert Anderson, Tauranga, NZ</w:t>
      </w:r>
    </w:p>
    <w:p w14:paraId="007E4259" w14:textId="77777777" w:rsidR="00875E8F" w:rsidRPr="00EB35D4" w:rsidRDefault="003E3578" w:rsidP="009F018E">
      <w:pPr>
        <w:pStyle w:val="ListParagraph"/>
        <w:numPr>
          <w:ilvl w:val="0"/>
          <w:numId w:val="29"/>
        </w:numPr>
        <w:ind w:left="851" w:hanging="851"/>
      </w:pPr>
      <w:r w:rsidRPr="00EB35D4">
        <w:t xml:space="preserve">Samantha </w:t>
      </w:r>
      <w:proofErr w:type="spellStart"/>
      <w:r w:rsidRPr="00EB35D4">
        <w:t>Mikus</w:t>
      </w:r>
      <w:proofErr w:type="spellEnd"/>
      <w:r w:rsidRPr="00EB35D4">
        <w:t>, Vermont South, VIC</w:t>
      </w:r>
    </w:p>
    <w:p w14:paraId="06C3F1AE" w14:textId="77777777" w:rsidR="00875E8F" w:rsidRPr="00EB35D4" w:rsidRDefault="003E3578" w:rsidP="009F018E">
      <w:pPr>
        <w:pStyle w:val="ListParagraph"/>
        <w:numPr>
          <w:ilvl w:val="0"/>
          <w:numId w:val="29"/>
        </w:numPr>
        <w:ind w:left="851" w:hanging="851"/>
      </w:pPr>
      <w:r w:rsidRPr="00EB35D4">
        <w:t>Lizzie Rose, Sydney, NSW</w:t>
      </w:r>
    </w:p>
    <w:p w14:paraId="261B4D2C" w14:textId="77777777" w:rsidR="00875E8F" w:rsidRPr="00EB35D4" w:rsidRDefault="003E3578" w:rsidP="009F018E">
      <w:pPr>
        <w:pStyle w:val="ListParagraph"/>
        <w:numPr>
          <w:ilvl w:val="0"/>
          <w:numId w:val="29"/>
        </w:numPr>
        <w:ind w:left="851" w:hanging="851"/>
      </w:pPr>
      <w:r w:rsidRPr="00EB35D4">
        <w:t xml:space="preserve">Mr J </w:t>
      </w:r>
      <w:proofErr w:type="spellStart"/>
      <w:r w:rsidRPr="00EB35D4">
        <w:t>Carapit</w:t>
      </w:r>
      <w:proofErr w:type="spellEnd"/>
      <w:r w:rsidRPr="00EB35D4">
        <w:t>, Sydney, NSW</w:t>
      </w:r>
    </w:p>
    <w:p w14:paraId="006C4F5E" w14:textId="77777777" w:rsidR="00875E8F" w:rsidRPr="00EB35D4" w:rsidRDefault="003E3578" w:rsidP="009F018E">
      <w:pPr>
        <w:pStyle w:val="ListParagraph"/>
        <w:numPr>
          <w:ilvl w:val="0"/>
          <w:numId w:val="29"/>
        </w:numPr>
        <w:ind w:left="851" w:hanging="851"/>
      </w:pPr>
      <w:r w:rsidRPr="00EB35D4">
        <w:t>Julia Sideris, Lewisham, NSW</w:t>
      </w:r>
    </w:p>
    <w:p w14:paraId="562D71B9" w14:textId="77777777" w:rsidR="00875E8F" w:rsidRPr="00EB35D4" w:rsidRDefault="003E3578" w:rsidP="009F018E">
      <w:pPr>
        <w:pStyle w:val="ListParagraph"/>
        <w:numPr>
          <w:ilvl w:val="0"/>
          <w:numId w:val="29"/>
        </w:numPr>
        <w:ind w:left="851" w:hanging="851"/>
      </w:pPr>
      <w:r w:rsidRPr="00EB35D4">
        <w:t>Martin Sharp, Rotorua, NZ</w:t>
      </w:r>
    </w:p>
    <w:p w14:paraId="28709A9E" w14:textId="77777777" w:rsidR="00875E8F" w:rsidRPr="00EB35D4" w:rsidRDefault="003E3578" w:rsidP="009F018E">
      <w:pPr>
        <w:pStyle w:val="ListParagraph"/>
        <w:numPr>
          <w:ilvl w:val="0"/>
          <w:numId w:val="29"/>
        </w:numPr>
        <w:ind w:left="851" w:hanging="851"/>
      </w:pPr>
      <w:r w:rsidRPr="00EB35D4">
        <w:t>Kim Brooks, Patterson Lakes, VIC</w:t>
      </w:r>
    </w:p>
    <w:p w14:paraId="02E862EA" w14:textId="77777777" w:rsidR="00875E8F" w:rsidRPr="00EB35D4" w:rsidRDefault="003E3578" w:rsidP="009F018E">
      <w:pPr>
        <w:pStyle w:val="ListParagraph"/>
        <w:numPr>
          <w:ilvl w:val="0"/>
          <w:numId w:val="29"/>
        </w:numPr>
        <w:ind w:left="851" w:hanging="851"/>
      </w:pPr>
      <w:r w:rsidRPr="00EB35D4">
        <w:t xml:space="preserve">Tania </w:t>
      </w:r>
      <w:proofErr w:type="spellStart"/>
      <w:r w:rsidRPr="00EB35D4">
        <w:t>Kanavas</w:t>
      </w:r>
      <w:proofErr w:type="spellEnd"/>
      <w:r w:rsidRPr="00EB35D4">
        <w:t>, United Kingdom</w:t>
      </w:r>
    </w:p>
    <w:p w14:paraId="2827515F" w14:textId="77777777" w:rsidR="00875E8F" w:rsidRPr="00EB35D4" w:rsidRDefault="003E3578" w:rsidP="009F018E">
      <w:pPr>
        <w:pStyle w:val="ListParagraph"/>
        <w:numPr>
          <w:ilvl w:val="0"/>
          <w:numId w:val="29"/>
        </w:numPr>
        <w:ind w:left="851" w:hanging="851"/>
      </w:pPr>
      <w:r w:rsidRPr="00EB35D4">
        <w:t xml:space="preserve">Monique </w:t>
      </w:r>
      <w:proofErr w:type="spellStart"/>
      <w:r w:rsidRPr="00EB35D4">
        <w:t>Bekkevold</w:t>
      </w:r>
      <w:proofErr w:type="spellEnd"/>
      <w:r w:rsidRPr="00EB35D4">
        <w:t>, Galston, NSW</w:t>
      </w:r>
    </w:p>
    <w:p w14:paraId="0769835B" w14:textId="77777777" w:rsidR="00875E8F" w:rsidRPr="00EB35D4" w:rsidRDefault="003E3578" w:rsidP="009F018E">
      <w:pPr>
        <w:pStyle w:val="ListParagraph"/>
        <w:numPr>
          <w:ilvl w:val="0"/>
          <w:numId w:val="29"/>
        </w:numPr>
        <w:ind w:left="851" w:hanging="851"/>
      </w:pPr>
      <w:r w:rsidRPr="00EB35D4">
        <w:t>Judy Wiese, Bordertown, SA</w:t>
      </w:r>
    </w:p>
    <w:p w14:paraId="75E0FC5E" w14:textId="77777777" w:rsidR="00875E8F" w:rsidRPr="00EB35D4" w:rsidRDefault="003E3578" w:rsidP="009F018E">
      <w:pPr>
        <w:pStyle w:val="ListParagraph"/>
        <w:numPr>
          <w:ilvl w:val="0"/>
          <w:numId w:val="29"/>
        </w:numPr>
        <w:ind w:left="851" w:hanging="851"/>
      </w:pPr>
      <w:r w:rsidRPr="00EB35D4">
        <w:t>Karyn Harris, Wellington, NZ</w:t>
      </w:r>
    </w:p>
    <w:p w14:paraId="533E98D6" w14:textId="77777777" w:rsidR="00875E8F" w:rsidRPr="00EB35D4" w:rsidRDefault="003E3578" w:rsidP="009F018E">
      <w:pPr>
        <w:pStyle w:val="ListParagraph"/>
        <w:numPr>
          <w:ilvl w:val="0"/>
          <w:numId w:val="29"/>
        </w:numPr>
        <w:ind w:left="851" w:hanging="851"/>
      </w:pPr>
      <w:r w:rsidRPr="00EB35D4">
        <w:t xml:space="preserve">Dianne Green, </w:t>
      </w:r>
      <w:proofErr w:type="spellStart"/>
      <w:r w:rsidRPr="00EB35D4">
        <w:t>Yeppon</w:t>
      </w:r>
      <w:proofErr w:type="spellEnd"/>
      <w:r w:rsidRPr="00EB35D4">
        <w:t>, QLD</w:t>
      </w:r>
    </w:p>
    <w:p w14:paraId="237A18CB" w14:textId="77777777" w:rsidR="00875E8F" w:rsidRPr="00EB35D4" w:rsidRDefault="003E3578" w:rsidP="009F018E">
      <w:pPr>
        <w:pStyle w:val="ListParagraph"/>
        <w:numPr>
          <w:ilvl w:val="0"/>
          <w:numId w:val="29"/>
        </w:numPr>
        <w:ind w:left="851" w:hanging="851"/>
      </w:pPr>
      <w:r w:rsidRPr="00EB35D4">
        <w:t xml:space="preserve">Charles </w:t>
      </w:r>
      <w:proofErr w:type="spellStart"/>
      <w:r w:rsidRPr="00EB35D4">
        <w:t>Drace</w:t>
      </w:r>
      <w:proofErr w:type="spellEnd"/>
      <w:r w:rsidRPr="00EB35D4">
        <w:t>, Christchurch, NZ</w:t>
      </w:r>
    </w:p>
    <w:p w14:paraId="1E15EF6D" w14:textId="77777777" w:rsidR="00875E8F" w:rsidRPr="00EB35D4" w:rsidRDefault="003E3578" w:rsidP="009F018E">
      <w:pPr>
        <w:pStyle w:val="ListParagraph"/>
        <w:numPr>
          <w:ilvl w:val="0"/>
          <w:numId w:val="29"/>
        </w:numPr>
        <w:ind w:left="851" w:hanging="851"/>
      </w:pPr>
      <w:r w:rsidRPr="00EB35D4">
        <w:t xml:space="preserve">Leanne </w:t>
      </w:r>
      <w:proofErr w:type="spellStart"/>
      <w:r w:rsidRPr="00EB35D4">
        <w:t>Ruditsch</w:t>
      </w:r>
      <w:proofErr w:type="spellEnd"/>
      <w:r w:rsidRPr="00EB35D4">
        <w:t>, Candelo, NSW</w:t>
      </w:r>
    </w:p>
    <w:p w14:paraId="4A8EED9B" w14:textId="77777777" w:rsidR="00875E8F" w:rsidRPr="00EB35D4" w:rsidRDefault="003E3578" w:rsidP="009F018E">
      <w:pPr>
        <w:pStyle w:val="ListParagraph"/>
        <w:numPr>
          <w:ilvl w:val="0"/>
          <w:numId w:val="29"/>
        </w:numPr>
        <w:ind w:left="851" w:hanging="851"/>
      </w:pPr>
      <w:r w:rsidRPr="00EB35D4">
        <w:t xml:space="preserve">Guy </w:t>
      </w:r>
      <w:proofErr w:type="spellStart"/>
      <w:r w:rsidRPr="00EB35D4">
        <w:t>Ousey</w:t>
      </w:r>
      <w:proofErr w:type="spellEnd"/>
      <w:r w:rsidRPr="00EB35D4">
        <w:t>, Dimbulah, QLD</w:t>
      </w:r>
    </w:p>
    <w:p w14:paraId="683E384F" w14:textId="77777777" w:rsidR="00875E8F" w:rsidRPr="00EB35D4" w:rsidRDefault="003E3578" w:rsidP="009F018E">
      <w:pPr>
        <w:pStyle w:val="ListParagraph"/>
        <w:numPr>
          <w:ilvl w:val="0"/>
          <w:numId w:val="29"/>
        </w:numPr>
        <w:ind w:left="851" w:hanging="851"/>
      </w:pPr>
      <w:r w:rsidRPr="00EB35D4">
        <w:t>Julie Robinson, VIC</w:t>
      </w:r>
    </w:p>
    <w:p w14:paraId="36032935" w14:textId="77777777" w:rsidR="00875E8F" w:rsidRPr="00EB35D4" w:rsidRDefault="003E3578" w:rsidP="009F018E">
      <w:pPr>
        <w:pStyle w:val="ListParagraph"/>
        <w:numPr>
          <w:ilvl w:val="0"/>
          <w:numId w:val="29"/>
        </w:numPr>
        <w:ind w:left="851" w:hanging="851"/>
      </w:pPr>
      <w:r w:rsidRPr="00EB35D4">
        <w:t>Amber Colhoun, Sydney, NSW</w:t>
      </w:r>
    </w:p>
    <w:p w14:paraId="3250AF6B" w14:textId="77777777" w:rsidR="00875E8F" w:rsidRPr="00EB35D4" w:rsidRDefault="003E3578" w:rsidP="009F018E">
      <w:pPr>
        <w:pStyle w:val="ListParagraph"/>
        <w:numPr>
          <w:ilvl w:val="0"/>
          <w:numId w:val="29"/>
        </w:numPr>
        <w:ind w:left="851" w:hanging="851"/>
      </w:pPr>
      <w:r w:rsidRPr="00EB35D4">
        <w:t xml:space="preserve">Patrick </w:t>
      </w:r>
      <w:proofErr w:type="spellStart"/>
      <w:r w:rsidRPr="00EB35D4">
        <w:t>Lias</w:t>
      </w:r>
      <w:proofErr w:type="spellEnd"/>
      <w:r w:rsidRPr="00EB35D4">
        <w:t>, Melbourne, VIC</w:t>
      </w:r>
    </w:p>
    <w:p w14:paraId="5C667B8E" w14:textId="77777777" w:rsidR="00875E8F" w:rsidRPr="00EB35D4" w:rsidRDefault="003E3578" w:rsidP="009F018E">
      <w:pPr>
        <w:pStyle w:val="ListParagraph"/>
        <w:numPr>
          <w:ilvl w:val="0"/>
          <w:numId w:val="29"/>
        </w:numPr>
        <w:ind w:left="851" w:hanging="851"/>
      </w:pPr>
      <w:r w:rsidRPr="00EB35D4">
        <w:t xml:space="preserve">Nico </w:t>
      </w:r>
      <w:proofErr w:type="spellStart"/>
      <w:r w:rsidRPr="00EB35D4">
        <w:t>Hirzel</w:t>
      </w:r>
      <w:proofErr w:type="spellEnd"/>
      <w:r w:rsidRPr="00EB35D4">
        <w:t>, Melbourne, VIC</w:t>
      </w:r>
    </w:p>
    <w:p w14:paraId="629ECEB3" w14:textId="77777777" w:rsidR="00875E8F" w:rsidRPr="00EB35D4" w:rsidRDefault="003E3578" w:rsidP="009F018E">
      <w:pPr>
        <w:pStyle w:val="ListParagraph"/>
        <w:numPr>
          <w:ilvl w:val="0"/>
          <w:numId w:val="29"/>
        </w:numPr>
        <w:ind w:left="851" w:hanging="851"/>
      </w:pPr>
      <w:r w:rsidRPr="00EB35D4">
        <w:t>Sarah, Balmoral, NSW</w:t>
      </w:r>
    </w:p>
    <w:p w14:paraId="016C9A40" w14:textId="77777777" w:rsidR="00767771" w:rsidRPr="00EB35D4" w:rsidRDefault="003E3578" w:rsidP="009F018E">
      <w:pPr>
        <w:pStyle w:val="ListParagraph"/>
        <w:numPr>
          <w:ilvl w:val="0"/>
          <w:numId w:val="29"/>
        </w:numPr>
        <w:ind w:left="851" w:hanging="851"/>
      </w:pPr>
      <w:r w:rsidRPr="00EB35D4">
        <w:t>Sam David, Greenvale, VIC</w:t>
      </w:r>
    </w:p>
    <w:p w14:paraId="3E6627F9" w14:textId="77777777" w:rsidR="00767771" w:rsidRPr="00EB35D4" w:rsidRDefault="003E3578" w:rsidP="009F018E">
      <w:pPr>
        <w:pStyle w:val="ListParagraph"/>
        <w:numPr>
          <w:ilvl w:val="0"/>
          <w:numId w:val="29"/>
        </w:numPr>
        <w:ind w:left="851" w:hanging="851"/>
      </w:pPr>
      <w:r w:rsidRPr="00EB35D4">
        <w:t>Charles Newman, Thornlie, WA</w:t>
      </w:r>
    </w:p>
    <w:p w14:paraId="70184110" w14:textId="77777777" w:rsidR="00767771" w:rsidRPr="00EB35D4" w:rsidRDefault="003E3578" w:rsidP="009F018E">
      <w:pPr>
        <w:pStyle w:val="ListParagraph"/>
        <w:numPr>
          <w:ilvl w:val="0"/>
          <w:numId w:val="29"/>
        </w:numPr>
        <w:ind w:left="851" w:hanging="851"/>
      </w:pPr>
      <w:r w:rsidRPr="00EB35D4">
        <w:t>Alex Muir, Sydney, NSW</w:t>
      </w:r>
    </w:p>
    <w:p w14:paraId="6D8504A9" w14:textId="77777777" w:rsidR="00767771" w:rsidRPr="00EB35D4" w:rsidRDefault="003E3578" w:rsidP="009F018E">
      <w:pPr>
        <w:pStyle w:val="ListParagraph"/>
        <w:numPr>
          <w:ilvl w:val="0"/>
          <w:numId w:val="29"/>
        </w:numPr>
        <w:ind w:left="851" w:hanging="851"/>
      </w:pPr>
      <w:r w:rsidRPr="00EB35D4">
        <w:t xml:space="preserve">Anthony </w:t>
      </w:r>
      <w:proofErr w:type="spellStart"/>
      <w:r w:rsidRPr="00EB35D4">
        <w:t>Bruzzese</w:t>
      </w:r>
      <w:proofErr w:type="spellEnd"/>
      <w:r w:rsidRPr="00EB35D4">
        <w:t>, Keilor East, VIC</w:t>
      </w:r>
    </w:p>
    <w:p w14:paraId="2310BF5B" w14:textId="77777777" w:rsidR="00767771" w:rsidRPr="00EB35D4" w:rsidRDefault="003E3578" w:rsidP="009F018E">
      <w:pPr>
        <w:pStyle w:val="ListParagraph"/>
        <w:numPr>
          <w:ilvl w:val="0"/>
          <w:numId w:val="29"/>
        </w:numPr>
        <w:ind w:left="851" w:hanging="851"/>
      </w:pPr>
      <w:r w:rsidRPr="00EB35D4">
        <w:t>Elizabeth Di Paola, Mitcham, VIC</w:t>
      </w:r>
    </w:p>
    <w:p w14:paraId="5489D88E" w14:textId="77777777" w:rsidR="00767771" w:rsidRPr="00EB35D4" w:rsidRDefault="003E3578" w:rsidP="009F018E">
      <w:pPr>
        <w:pStyle w:val="ListParagraph"/>
        <w:numPr>
          <w:ilvl w:val="0"/>
          <w:numId w:val="29"/>
        </w:numPr>
        <w:ind w:left="851" w:hanging="851"/>
      </w:pPr>
      <w:r w:rsidRPr="00EB35D4">
        <w:t>Garry Jones, George Town, TAS</w:t>
      </w:r>
    </w:p>
    <w:p w14:paraId="474598E6" w14:textId="77777777" w:rsidR="00767771" w:rsidRPr="00EB35D4" w:rsidRDefault="003E3578" w:rsidP="009F018E">
      <w:pPr>
        <w:pStyle w:val="ListParagraph"/>
        <w:numPr>
          <w:ilvl w:val="0"/>
          <w:numId w:val="29"/>
        </w:numPr>
        <w:ind w:left="851" w:hanging="851"/>
      </w:pPr>
      <w:r w:rsidRPr="00EB35D4">
        <w:t>Mark Jones, Brisbane, QLD</w:t>
      </w:r>
    </w:p>
    <w:p w14:paraId="54079D2D" w14:textId="77777777" w:rsidR="00767771" w:rsidRPr="00EB35D4" w:rsidRDefault="003E3578" w:rsidP="009F018E">
      <w:pPr>
        <w:pStyle w:val="ListParagraph"/>
        <w:numPr>
          <w:ilvl w:val="0"/>
          <w:numId w:val="29"/>
        </w:numPr>
        <w:ind w:left="851" w:hanging="851"/>
      </w:pPr>
      <w:r w:rsidRPr="00EB35D4">
        <w:t>Annemarie Knight, Lower Plenty, VIC</w:t>
      </w:r>
    </w:p>
    <w:p w14:paraId="43259739" w14:textId="77777777" w:rsidR="00767771" w:rsidRPr="00EB35D4" w:rsidRDefault="003E3578" w:rsidP="009F018E">
      <w:pPr>
        <w:pStyle w:val="ListParagraph"/>
        <w:numPr>
          <w:ilvl w:val="0"/>
          <w:numId w:val="29"/>
        </w:numPr>
        <w:ind w:left="851" w:hanging="851"/>
      </w:pPr>
      <w:r w:rsidRPr="00EB35D4">
        <w:t>Murray Kirby, United Kingdom</w:t>
      </w:r>
    </w:p>
    <w:p w14:paraId="14273150" w14:textId="77777777" w:rsidR="00767771" w:rsidRPr="00EB35D4" w:rsidRDefault="003E3578" w:rsidP="009F018E">
      <w:pPr>
        <w:pStyle w:val="ListParagraph"/>
        <w:numPr>
          <w:ilvl w:val="0"/>
          <w:numId w:val="29"/>
        </w:numPr>
        <w:ind w:left="851" w:hanging="851"/>
      </w:pPr>
      <w:r w:rsidRPr="00EB35D4">
        <w:t>Samantha Bell, Gold Coast, QLD</w:t>
      </w:r>
    </w:p>
    <w:p w14:paraId="3E9B881B" w14:textId="77777777" w:rsidR="00767771" w:rsidRPr="00EB35D4" w:rsidRDefault="003E3578" w:rsidP="009F018E">
      <w:pPr>
        <w:pStyle w:val="ListParagraph"/>
        <w:numPr>
          <w:ilvl w:val="0"/>
          <w:numId w:val="29"/>
        </w:numPr>
        <w:ind w:left="851" w:hanging="851"/>
      </w:pPr>
      <w:proofErr w:type="spellStart"/>
      <w:r w:rsidRPr="00EB35D4">
        <w:t>Hadi</w:t>
      </w:r>
      <w:proofErr w:type="spellEnd"/>
      <w:r w:rsidRPr="00EB35D4">
        <w:t xml:space="preserve"> </w:t>
      </w:r>
      <w:proofErr w:type="spellStart"/>
      <w:r w:rsidRPr="00EB35D4">
        <w:t>Jalgha</w:t>
      </w:r>
      <w:proofErr w:type="spellEnd"/>
      <w:r w:rsidRPr="00EB35D4">
        <w:t xml:space="preserve">, </w:t>
      </w:r>
      <w:proofErr w:type="spellStart"/>
      <w:r w:rsidRPr="00EB35D4">
        <w:t>Lindfi</w:t>
      </w:r>
      <w:proofErr w:type="spellEnd"/>
      <w:r w:rsidRPr="00EB35D4">
        <w:t xml:space="preserve"> eld, NSW</w:t>
      </w:r>
    </w:p>
    <w:p w14:paraId="6FC13691" w14:textId="77777777" w:rsidR="00767771" w:rsidRPr="00EB35D4" w:rsidRDefault="003E3578" w:rsidP="009F018E">
      <w:pPr>
        <w:pStyle w:val="ListParagraph"/>
        <w:numPr>
          <w:ilvl w:val="0"/>
          <w:numId w:val="29"/>
        </w:numPr>
        <w:ind w:left="851" w:hanging="851"/>
      </w:pPr>
      <w:r w:rsidRPr="00EB35D4">
        <w:t xml:space="preserve">Dr Elvira </w:t>
      </w:r>
      <w:proofErr w:type="spellStart"/>
      <w:r w:rsidRPr="00EB35D4">
        <w:t>Dommisse</w:t>
      </w:r>
      <w:proofErr w:type="spellEnd"/>
      <w:r w:rsidRPr="00EB35D4">
        <w:t>, Christchurch, NZ</w:t>
      </w:r>
    </w:p>
    <w:p w14:paraId="625752CF" w14:textId="77777777" w:rsidR="00767771" w:rsidRPr="00EB35D4" w:rsidRDefault="003E3578" w:rsidP="009F018E">
      <w:pPr>
        <w:pStyle w:val="ListParagraph"/>
        <w:numPr>
          <w:ilvl w:val="0"/>
          <w:numId w:val="29"/>
        </w:numPr>
        <w:ind w:left="851" w:hanging="851"/>
      </w:pPr>
      <w:r w:rsidRPr="00EB35D4">
        <w:t xml:space="preserve">Arius </w:t>
      </w:r>
      <w:proofErr w:type="spellStart"/>
      <w:r w:rsidRPr="00EB35D4">
        <w:t>Tolstoshev</w:t>
      </w:r>
      <w:proofErr w:type="spellEnd"/>
      <w:r w:rsidRPr="00EB35D4">
        <w:t>, Melbourne, VIC</w:t>
      </w:r>
    </w:p>
    <w:p w14:paraId="4B10AC09" w14:textId="77777777" w:rsidR="00767771" w:rsidRPr="00EB35D4" w:rsidRDefault="003E3578" w:rsidP="009F018E">
      <w:pPr>
        <w:pStyle w:val="ListParagraph"/>
        <w:numPr>
          <w:ilvl w:val="0"/>
          <w:numId w:val="29"/>
        </w:numPr>
        <w:ind w:left="851" w:hanging="851"/>
      </w:pPr>
      <w:r w:rsidRPr="00EB35D4">
        <w:t xml:space="preserve">Rania </w:t>
      </w:r>
      <w:proofErr w:type="spellStart"/>
      <w:r w:rsidRPr="00EB35D4">
        <w:t>Romanos</w:t>
      </w:r>
      <w:proofErr w:type="spellEnd"/>
      <w:r w:rsidRPr="00EB35D4">
        <w:t>, Melbourne, VIC</w:t>
      </w:r>
    </w:p>
    <w:p w14:paraId="59A4B121" w14:textId="77777777" w:rsidR="00767771" w:rsidRPr="00EB35D4" w:rsidRDefault="003E3578" w:rsidP="009F018E">
      <w:pPr>
        <w:pStyle w:val="ListParagraph"/>
        <w:numPr>
          <w:ilvl w:val="0"/>
          <w:numId w:val="29"/>
        </w:numPr>
        <w:ind w:left="851" w:hanging="851"/>
      </w:pPr>
      <w:r w:rsidRPr="00EB35D4">
        <w:lastRenderedPageBreak/>
        <w:t>Andrew Forsythe, Fortitude Valley, QLD</w:t>
      </w:r>
    </w:p>
    <w:p w14:paraId="1E2C335B" w14:textId="77777777" w:rsidR="00767771" w:rsidRPr="00EB35D4" w:rsidRDefault="003E3578" w:rsidP="009F018E">
      <w:pPr>
        <w:pStyle w:val="ListParagraph"/>
        <w:numPr>
          <w:ilvl w:val="0"/>
          <w:numId w:val="29"/>
        </w:numPr>
        <w:ind w:left="851" w:hanging="851"/>
      </w:pPr>
      <w:r w:rsidRPr="00EB35D4">
        <w:t xml:space="preserve">Narelle </w:t>
      </w:r>
      <w:proofErr w:type="spellStart"/>
      <w:r w:rsidRPr="00EB35D4">
        <w:t>Tildesley</w:t>
      </w:r>
      <w:proofErr w:type="spellEnd"/>
      <w:r w:rsidRPr="00EB35D4">
        <w:t>, Bicheno, TAS</w:t>
      </w:r>
    </w:p>
    <w:p w14:paraId="20BAE0E9" w14:textId="77777777" w:rsidR="00767771" w:rsidRPr="00EB35D4" w:rsidRDefault="003E3578" w:rsidP="009F018E">
      <w:pPr>
        <w:pStyle w:val="ListParagraph"/>
        <w:numPr>
          <w:ilvl w:val="0"/>
          <w:numId w:val="29"/>
        </w:numPr>
        <w:ind w:left="851" w:hanging="851"/>
      </w:pPr>
      <w:r w:rsidRPr="00EB35D4">
        <w:t>Susan McMullen, Sunrise Beach, QLD</w:t>
      </w:r>
    </w:p>
    <w:p w14:paraId="3C52FC9F" w14:textId="77777777" w:rsidR="00767771" w:rsidRPr="00EB35D4" w:rsidRDefault="003E3578" w:rsidP="009F018E">
      <w:pPr>
        <w:pStyle w:val="ListParagraph"/>
        <w:numPr>
          <w:ilvl w:val="0"/>
          <w:numId w:val="29"/>
        </w:numPr>
        <w:ind w:left="851" w:hanging="851"/>
      </w:pPr>
      <w:r w:rsidRPr="00EB35D4">
        <w:t>Aldo Ruggieri, Leichhardt, QLD</w:t>
      </w:r>
    </w:p>
    <w:p w14:paraId="56B23F85" w14:textId="77777777" w:rsidR="00767771" w:rsidRPr="00EB35D4" w:rsidRDefault="003E3578" w:rsidP="009F018E">
      <w:pPr>
        <w:pStyle w:val="ListParagraph"/>
        <w:numPr>
          <w:ilvl w:val="0"/>
          <w:numId w:val="29"/>
        </w:numPr>
        <w:ind w:left="851" w:hanging="851"/>
      </w:pPr>
      <w:r w:rsidRPr="00EB35D4">
        <w:t xml:space="preserve">Robyn </w:t>
      </w:r>
      <w:proofErr w:type="spellStart"/>
      <w:r w:rsidRPr="00EB35D4">
        <w:t>Aldrick</w:t>
      </w:r>
      <w:proofErr w:type="spellEnd"/>
      <w:r w:rsidRPr="00EB35D4">
        <w:t>, Melbourne, VIC</w:t>
      </w:r>
    </w:p>
    <w:p w14:paraId="0F3BB067" w14:textId="77777777" w:rsidR="00767771" w:rsidRPr="00EB35D4" w:rsidRDefault="00767771" w:rsidP="009F018E">
      <w:pPr>
        <w:pStyle w:val="ListParagraph"/>
        <w:numPr>
          <w:ilvl w:val="0"/>
          <w:numId w:val="29"/>
        </w:numPr>
        <w:ind w:left="851" w:hanging="851"/>
      </w:pPr>
      <w:r w:rsidRPr="00EB35D4">
        <w:t>Enr</w:t>
      </w:r>
      <w:r w:rsidR="003E3578" w:rsidRPr="00EB35D4">
        <w:t xml:space="preserve">ico </w:t>
      </w:r>
      <w:proofErr w:type="spellStart"/>
      <w:r w:rsidR="003E3578" w:rsidRPr="00EB35D4">
        <w:t>Malcisi</w:t>
      </w:r>
      <w:proofErr w:type="spellEnd"/>
      <w:r w:rsidR="003E3578" w:rsidRPr="00EB35D4">
        <w:t>, Thora, NSW</w:t>
      </w:r>
    </w:p>
    <w:p w14:paraId="7FEB2626" w14:textId="77777777" w:rsidR="00767771" w:rsidRPr="00EB35D4" w:rsidRDefault="003E3578" w:rsidP="009F018E">
      <w:pPr>
        <w:pStyle w:val="ListParagraph"/>
        <w:numPr>
          <w:ilvl w:val="0"/>
          <w:numId w:val="29"/>
        </w:numPr>
        <w:ind w:left="851" w:hanging="851"/>
      </w:pPr>
      <w:r w:rsidRPr="00EB35D4">
        <w:t>John Finch, Cairns, QLD</w:t>
      </w:r>
    </w:p>
    <w:p w14:paraId="7B236BA0" w14:textId="77777777" w:rsidR="00767771" w:rsidRPr="00EB35D4" w:rsidRDefault="003E3578" w:rsidP="009F018E">
      <w:pPr>
        <w:pStyle w:val="ListParagraph"/>
        <w:numPr>
          <w:ilvl w:val="0"/>
          <w:numId w:val="29"/>
        </w:numPr>
        <w:ind w:left="851" w:hanging="851"/>
      </w:pPr>
      <w:r w:rsidRPr="00EB35D4">
        <w:t xml:space="preserve">Anna </w:t>
      </w:r>
      <w:proofErr w:type="spellStart"/>
      <w:r w:rsidRPr="00EB35D4">
        <w:t>Ritman</w:t>
      </w:r>
      <w:proofErr w:type="spellEnd"/>
      <w:r w:rsidRPr="00EB35D4">
        <w:t>, Melbourne, VIC</w:t>
      </w:r>
    </w:p>
    <w:p w14:paraId="18E4C1A7" w14:textId="77777777" w:rsidR="00767771" w:rsidRPr="00EB35D4" w:rsidRDefault="003E3578" w:rsidP="009F018E">
      <w:pPr>
        <w:pStyle w:val="ListParagraph"/>
        <w:numPr>
          <w:ilvl w:val="0"/>
          <w:numId w:val="29"/>
        </w:numPr>
        <w:ind w:left="851" w:hanging="851"/>
      </w:pPr>
      <w:proofErr w:type="spellStart"/>
      <w:r w:rsidRPr="00EB35D4">
        <w:t>Suelynn</w:t>
      </w:r>
      <w:proofErr w:type="spellEnd"/>
      <w:r w:rsidRPr="00EB35D4">
        <w:t xml:space="preserve"> Morley, Perth, WA</w:t>
      </w:r>
    </w:p>
    <w:p w14:paraId="1AE5E622" w14:textId="77777777" w:rsidR="00767771" w:rsidRPr="00EB35D4" w:rsidRDefault="003E3578" w:rsidP="009F018E">
      <w:pPr>
        <w:pStyle w:val="ListParagraph"/>
        <w:numPr>
          <w:ilvl w:val="0"/>
          <w:numId w:val="29"/>
        </w:numPr>
        <w:ind w:left="851" w:hanging="851"/>
      </w:pPr>
      <w:r w:rsidRPr="00EB35D4">
        <w:t>Chris Ennis, Two Rocks, WA</w:t>
      </w:r>
    </w:p>
    <w:p w14:paraId="00BA5E41" w14:textId="77777777" w:rsidR="00767771" w:rsidRPr="00EB35D4" w:rsidRDefault="003E3578" w:rsidP="009F018E">
      <w:pPr>
        <w:pStyle w:val="ListParagraph"/>
        <w:numPr>
          <w:ilvl w:val="0"/>
          <w:numId w:val="29"/>
        </w:numPr>
        <w:ind w:left="851" w:hanging="851"/>
      </w:pPr>
      <w:r w:rsidRPr="00EB35D4">
        <w:t>Belinda Towns, Melbourne, VIC</w:t>
      </w:r>
    </w:p>
    <w:p w14:paraId="08BE8410" w14:textId="77777777" w:rsidR="00767771" w:rsidRPr="00EB35D4" w:rsidRDefault="003E3578" w:rsidP="009F018E">
      <w:pPr>
        <w:pStyle w:val="ListParagraph"/>
        <w:numPr>
          <w:ilvl w:val="0"/>
          <w:numId w:val="29"/>
        </w:numPr>
        <w:ind w:left="851" w:hanging="851"/>
      </w:pPr>
      <w:r w:rsidRPr="00EB35D4">
        <w:t>Hope Foley, Maroochydore, QLD</w:t>
      </w:r>
    </w:p>
    <w:p w14:paraId="0FDCFFE1" w14:textId="77777777" w:rsidR="00767771" w:rsidRPr="00EB35D4" w:rsidRDefault="003E3578" w:rsidP="009F018E">
      <w:pPr>
        <w:pStyle w:val="ListParagraph"/>
        <w:numPr>
          <w:ilvl w:val="0"/>
          <w:numId w:val="29"/>
        </w:numPr>
        <w:ind w:left="851" w:hanging="851"/>
      </w:pPr>
      <w:r w:rsidRPr="00EB35D4">
        <w:t>Andre de Almeida, Melbourne, VIC</w:t>
      </w:r>
    </w:p>
    <w:p w14:paraId="2C512435" w14:textId="77777777" w:rsidR="00767771" w:rsidRPr="00EB35D4" w:rsidRDefault="00767771" w:rsidP="009F018E">
      <w:pPr>
        <w:pStyle w:val="ListParagraph"/>
        <w:numPr>
          <w:ilvl w:val="0"/>
          <w:numId w:val="29"/>
        </w:numPr>
        <w:ind w:left="851" w:hanging="851"/>
      </w:pPr>
      <w:r w:rsidRPr="00EB35D4">
        <w:t>Phillip Kemp, Sheffi</w:t>
      </w:r>
      <w:r w:rsidR="003E3578" w:rsidRPr="00EB35D4">
        <w:t>eld, TAS</w:t>
      </w:r>
    </w:p>
    <w:p w14:paraId="3FE6CFB2" w14:textId="77777777" w:rsidR="00767771" w:rsidRPr="00EB35D4" w:rsidRDefault="003E3578" w:rsidP="009F018E">
      <w:pPr>
        <w:pStyle w:val="ListParagraph"/>
        <w:numPr>
          <w:ilvl w:val="0"/>
          <w:numId w:val="29"/>
        </w:numPr>
        <w:ind w:left="851" w:hanging="851"/>
      </w:pPr>
      <w:r w:rsidRPr="00EB35D4">
        <w:t xml:space="preserve">A </w:t>
      </w:r>
      <w:proofErr w:type="spellStart"/>
      <w:r w:rsidRPr="00EB35D4">
        <w:t>Rohlfs</w:t>
      </w:r>
      <w:proofErr w:type="spellEnd"/>
      <w:r w:rsidRPr="00EB35D4">
        <w:t>, Sydney, NSW</w:t>
      </w:r>
    </w:p>
    <w:p w14:paraId="14BAB7F8" w14:textId="77777777" w:rsidR="00767771" w:rsidRPr="00EB35D4" w:rsidRDefault="003E3578" w:rsidP="009F018E">
      <w:pPr>
        <w:pStyle w:val="ListParagraph"/>
        <w:numPr>
          <w:ilvl w:val="0"/>
          <w:numId w:val="29"/>
        </w:numPr>
        <w:ind w:left="851" w:hanging="851"/>
      </w:pPr>
      <w:r w:rsidRPr="00EB35D4">
        <w:t>Suzanne Kowalski-Roth, Sydney, NSW</w:t>
      </w:r>
    </w:p>
    <w:p w14:paraId="5A306E39" w14:textId="77777777" w:rsidR="00767771" w:rsidRPr="00EB35D4" w:rsidRDefault="00767771" w:rsidP="009F018E">
      <w:pPr>
        <w:pStyle w:val="ListParagraph"/>
        <w:numPr>
          <w:ilvl w:val="0"/>
          <w:numId w:val="29"/>
        </w:numPr>
        <w:ind w:left="851" w:hanging="851"/>
      </w:pPr>
      <w:r w:rsidRPr="00EB35D4">
        <w:t>Fio</w:t>
      </w:r>
      <w:r w:rsidR="003E3578" w:rsidRPr="00EB35D4">
        <w:t>na Deegan, Sydney, NSW</w:t>
      </w:r>
    </w:p>
    <w:p w14:paraId="0F016557" w14:textId="77777777" w:rsidR="00767771" w:rsidRPr="00EB35D4" w:rsidRDefault="003E3578" w:rsidP="009F018E">
      <w:pPr>
        <w:pStyle w:val="ListParagraph"/>
        <w:numPr>
          <w:ilvl w:val="0"/>
          <w:numId w:val="29"/>
        </w:numPr>
        <w:ind w:left="851" w:hanging="851"/>
      </w:pPr>
      <w:proofErr w:type="spellStart"/>
      <w:r w:rsidRPr="00EB35D4">
        <w:t>Goksu</w:t>
      </w:r>
      <w:proofErr w:type="spellEnd"/>
      <w:r w:rsidRPr="00EB35D4">
        <w:t xml:space="preserve"> Dines, Harbord, NSW</w:t>
      </w:r>
    </w:p>
    <w:p w14:paraId="43996BE9" w14:textId="77777777" w:rsidR="00767771" w:rsidRPr="00EB35D4" w:rsidRDefault="003E3578" w:rsidP="009F018E">
      <w:pPr>
        <w:pStyle w:val="ListParagraph"/>
        <w:numPr>
          <w:ilvl w:val="0"/>
          <w:numId w:val="29"/>
        </w:numPr>
        <w:ind w:left="851" w:hanging="851"/>
      </w:pPr>
      <w:r w:rsidRPr="00EB35D4">
        <w:t>Lynn Brett, Dubbo, NSW</w:t>
      </w:r>
    </w:p>
    <w:p w14:paraId="6FCD910C" w14:textId="77777777" w:rsidR="00767771" w:rsidRPr="00EB35D4" w:rsidRDefault="003E3578" w:rsidP="009F018E">
      <w:pPr>
        <w:pStyle w:val="ListParagraph"/>
        <w:numPr>
          <w:ilvl w:val="0"/>
          <w:numId w:val="29"/>
        </w:numPr>
        <w:ind w:left="851" w:hanging="851"/>
      </w:pPr>
      <w:r w:rsidRPr="00EB35D4">
        <w:t>Michael Wright, South Coogee, NSW</w:t>
      </w:r>
    </w:p>
    <w:p w14:paraId="3C427D89" w14:textId="77777777" w:rsidR="00767771" w:rsidRPr="00EB35D4" w:rsidRDefault="003E3578" w:rsidP="009F018E">
      <w:pPr>
        <w:pStyle w:val="ListParagraph"/>
        <w:numPr>
          <w:ilvl w:val="0"/>
          <w:numId w:val="29"/>
        </w:numPr>
        <w:ind w:left="851" w:hanging="851"/>
      </w:pPr>
      <w:r w:rsidRPr="00EB35D4">
        <w:t>Kerry Ross, Sydney, NSW</w:t>
      </w:r>
    </w:p>
    <w:p w14:paraId="5DD6B421" w14:textId="77777777" w:rsidR="00767771" w:rsidRPr="00EB35D4" w:rsidRDefault="003E3578" w:rsidP="009F018E">
      <w:pPr>
        <w:pStyle w:val="ListParagraph"/>
        <w:numPr>
          <w:ilvl w:val="0"/>
          <w:numId w:val="29"/>
        </w:numPr>
        <w:ind w:left="851" w:hanging="851"/>
      </w:pPr>
      <w:r w:rsidRPr="00EB35D4">
        <w:t xml:space="preserve">Kyle Scott, Lake </w:t>
      </w:r>
      <w:proofErr w:type="spellStart"/>
      <w:r w:rsidRPr="00EB35D4">
        <w:t>Manmorah</w:t>
      </w:r>
      <w:proofErr w:type="spellEnd"/>
      <w:r w:rsidRPr="00EB35D4">
        <w:t>, NSW</w:t>
      </w:r>
    </w:p>
    <w:p w14:paraId="10C93B25" w14:textId="77777777" w:rsidR="00767771" w:rsidRPr="00EB35D4" w:rsidRDefault="003E3578" w:rsidP="009F018E">
      <w:pPr>
        <w:pStyle w:val="ListParagraph"/>
        <w:numPr>
          <w:ilvl w:val="0"/>
          <w:numId w:val="29"/>
        </w:numPr>
        <w:ind w:left="851" w:hanging="851"/>
      </w:pPr>
      <w:proofErr w:type="spellStart"/>
      <w:r w:rsidRPr="00EB35D4">
        <w:t>Jerard</w:t>
      </w:r>
      <w:proofErr w:type="spellEnd"/>
      <w:r w:rsidRPr="00EB35D4">
        <w:t xml:space="preserve"> Grant, Brisbane, QLD</w:t>
      </w:r>
    </w:p>
    <w:p w14:paraId="12EEB62A" w14:textId="77777777" w:rsidR="009C5F4A" w:rsidRPr="00EB35D4" w:rsidRDefault="003E3578" w:rsidP="009F018E">
      <w:pPr>
        <w:pStyle w:val="ListParagraph"/>
        <w:numPr>
          <w:ilvl w:val="0"/>
          <w:numId w:val="29"/>
        </w:numPr>
        <w:ind w:left="851" w:hanging="851"/>
      </w:pPr>
      <w:r w:rsidRPr="00EB35D4">
        <w:t>Sandra Scott, Melbourne, VIC</w:t>
      </w:r>
    </w:p>
    <w:p w14:paraId="6ACF13D1" w14:textId="77777777" w:rsidR="009C5F4A" w:rsidRPr="00EB35D4" w:rsidRDefault="009C5F4A" w:rsidP="009F018E">
      <w:pPr>
        <w:pStyle w:val="ListParagraph"/>
        <w:numPr>
          <w:ilvl w:val="0"/>
          <w:numId w:val="29"/>
        </w:numPr>
        <w:ind w:left="851" w:hanging="851"/>
      </w:pPr>
      <w:r w:rsidRPr="00EB35D4">
        <w:t>Lauryn Ireson, Melbourne, VIC</w:t>
      </w:r>
    </w:p>
    <w:p w14:paraId="2538195C" w14:textId="77777777" w:rsidR="009C5F4A" w:rsidRPr="00EB35D4" w:rsidRDefault="009C5F4A" w:rsidP="009F018E">
      <w:pPr>
        <w:pStyle w:val="ListParagraph"/>
        <w:numPr>
          <w:ilvl w:val="0"/>
          <w:numId w:val="29"/>
        </w:numPr>
        <w:ind w:left="851" w:hanging="851"/>
      </w:pPr>
      <w:r w:rsidRPr="00EB35D4">
        <w:t>Tony Ireson, Melbourne, VIC</w:t>
      </w:r>
    </w:p>
    <w:p w14:paraId="7431AF91" w14:textId="77777777" w:rsidR="009C5F4A" w:rsidRPr="00EB35D4" w:rsidRDefault="009C5F4A" w:rsidP="009F018E">
      <w:pPr>
        <w:pStyle w:val="ListParagraph"/>
        <w:numPr>
          <w:ilvl w:val="0"/>
          <w:numId w:val="29"/>
        </w:numPr>
        <w:ind w:left="851" w:hanging="851"/>
      </w:pPr>
      <w:r w:rsidRPr="00EB35D4">
        <w:t>Nathan Henderson, Katoomba, NSW</w:t>
      </w:r>
    </w:p>
    <w:p w14:paraId="31294304" w14:textId="77777777" w:rsidR="009C5F4A" w:rsidRPr="00EB35D4" w:rsidRDefault="009C5F4A" w:rsidP="009F018E">
      <w:pPr>
        <w:pStyle w:val="ListParagraph"/>
        <w:numPr>
          <w:ilvl w:val="0"/>
          <w:numId w:val="29"/>
        </w:numPr>
        <w:ind w:left="851" w:hanging="851"/>
      </w:pPr>
      <w:r w:rsidRPr="00EB35D4">
        <w:t>Trina, Sydney, NSW</w:t>
      </w:r>
    </w:p>
    <w:p w14:paraId="16FCB551" w14:textId="77777777" w:rsidR="009C5F4A" w:rsidRPr="00EB35D4" w:rsidRDefault="009C5F4A" w:rsidP="009F018E">
      <w:pPr>
        <w:pStyle w:val="ListParagraph"/>
        <w:numPr>
          <w:ilvl w:val="0"/>
          <w:numId w:val="29"/>
        </w:numPr>
        <w:ind w:left="851" w:hanging="851"/>
      </w:pPr>
      <w:r w:rsidRPr="00EB35D4">
        <w:t>Ian Hehir, Dee Why, NSW</w:t>
      </w:r>
    </w:p>
    <w:p w14:paraId="77C49520" w14:textId="77777777" w:rsidR="009C5F4A" w:rsidRPr="00EB35D4" w:rsidRDefault="009C5F4A" w:rsidP="009F018E">
      <w:pPr>
        <w:pStyle w:val="ListParagraph"/>
        <w:numPr>
          <w:ilvl w:val="0"/>
          <w:numId w:val="29"/>
        </w:numPr>
        <w:ind w:left="851" w:hanging="851"/>
      </w:pPr>
      <w:r w:rsidRPr="00EB35D4">
        <w:t xml:space="preserve">Allan W. </w:t>
      </w:r>
      <w:proofErr w:type="spellStart"/>
      <w:r w:rsidRPr="00EB35D4">
        <w:t>Clancey</w:t>
      </w:r>
      <w:proofErr w:type="spellEnd"/>
      <w:r w:rsidRPr="00EB35D4">
        <w:t>, Moorooka, QLD</w:t>
      </w:r>
    </w:p>
    <w:p w14:paraId="4B99EF60" w14:textId="77777777" w:rsidR="009C5F4A" w:rsidRPr="00EB35D4" w:rsidRDefault="009C5F4A" w:rsidP="009F018E">
      <w:pPr>
        <w:pStyle w:val="ListParagraph"/>
        <w:numPr>
          <w:ilvl w:val="0"/>
          <w:numId w:val="29"/>
        </w:numPr>
        <w:ind w:left="851" w:hanging="851"/>
      </w:pPr>
      <w:r w:rsidRPr="00EB35D4">
        <w:t xml:space="preserve">Bayer </w:t>
      </w:r>
      <w:proofErr w:type="spellStart"/>
      <w:r w:rsidRPr="00EB35D4">
        <w:t>CropScience</w:t>
      </w:r>
      <w:proofErr w:type="spellEnd"/>
      <w:r w:rsidRPr="00EB35D4">
        <w:t>, VIC</w:t>
      </w:r>
    </w:p>
    <w:p w14:paraId="6B810E5D" w14:textId="77777777" w:rsidR="009C5F4A" w:rsidRPr="00EB35D4" w:rsidRDefault="009C5F4A" w:rsidP="009F018E">
      <w:pPr>
        <w:pStyle w:val="ListParagraph"/>
        <w:numPr>
          <w:ilvl w:val="0"/>
          <w:numId w:val="29"/>
        </w:numPr>
        <w:ind w:left="851" w:hanging="851"/>
      </w:pPr>
      <w:r w:rsidRPr="00EB35D4">
        <w:t>Professor Suzanne Cory, The Walter and Eliza Hall Institute of Medical Research, Melbourne, VIC</w:t>
      </w:r>
    </w:p>
    <w:p w14:paraId="5110F37B" w14:textId="77777777" w:rsidR="009C5F4A" w:rsidRPr="00EB35D4" w:rsidRDefault="009C5F4A" w:rsidP="009F018E">
      <w:pPr>
        <w:pStyle w:val="ListParagraph"/>
        <w:numPr>
          <w:ilvl w:val="0"/>
          <w:numId w:val="29"/>
        </w:numPr>
        <w:ind w:left="851" w:hanging="851"/>
      </w:pPr>
      <w:r w:rsidRPr="00EB35D4">
        <w:t>Greenpeace, NSW</w:t>
      </w:r>
    </w:p>
    <w:p w14:paraId="12598C87" w14:textId="77777777" w:rsidR="009C5F4A" w:rsidRPr="00EB35D4" w:rsidRDefault="009C5F4A" w:rsidP="009F018E">
      <w:pPr>
        <w:pStyle w:val="ListParagraph"/>
        <w:numPr>
          <w:ilvl w:val="0"/>
          <w:numId w:val="29"/>
        </w:numPr>
        <w:ind w:left="851" w:hanging="851"/>
      </w:pPr>
      <w:r w:rsidRPr="00EB35D4">
        <w:t>Serve-AG Pty Ltd, TAS</w:t>
      </w:r>
    </w:p>
    <w:p w14:paraId="1070DE87" w14:textId="77777777" w:rsidR="009C5F4A" w:rsidRPr="00EB35D4" w:rsidRDefault="009C5F4A" w:rsidP="009F018E">
      <w:pPr>
        <w:pStyle w:val="ListParagraph"/>
        <w:numPr>
          <w:ilvl w:val="0"/>
          <w:numId w:val="29"/>
        </w:numPr>
        <w:ind w:left="851" w:hanging="851"/>
      </w:pPr>
      <w:r w:rsidRPr="00EB35D4">
        <w:t>Australian Seed Federation, Manuka, ACT</w:t>
      </w:r>
    </w:p>
    <w:p w14:paraId="55159F75" w14:textId="77777777" w:rsidR="009C5F4A" w:rsidRPr="00EB35D4" w:rsidRDefault="009C5F4A" w:rsidP="009F018E">
      <w:pPr>
        <w:pStyle w:val="ListParagraph"/>
        <w:numPr>
          <w:ilvl w:val="0"/>
          <w:numId w:val="29"/>
        </w:numPr>
        <w:ind w:left="851" w:hanging="851"/>
      </w:pPr>
      <w:r w:rsidRPr="00EB35D4">
        <w:t>Dow AgroSciences Australia, ACT</w:t>
      </w:r>
    </w:p>
    <w:p w14:paraId="3993311B" w14:textId="77777777" w:rsidR="009C5F4A" w:rsidRPr="00EB35D4" w:rsidRDefault="009C5F4A" w:rsidP="009F018E">
      <w:pPr>
        <w:pStyle w:val="ListParagraph"/>
        <w:numPr>
          <w:ilvl w:val="0"/>
          <w:numId w:val="29"/>
        </w:numPr>
        <w:ind w:left="851" w:hanging="851"/>
      </w:pPr>
      <w:proofErr w:type="spellStart"/>
      <w:r w:rsidRPr="00EB35D4">
        <w:t>Nufarm</w:t>
      </w:r>
      <w:proofErr w:type="spellEnd"/>
      <w:r w:rsidRPr="00EB35D4">
        <w:t xml:space="preserve"> Limited, Laverton North, VIC</w:t>
      </w:r>
    </w:p>
    <w:p w14:paraId="5ECFBE56" w14:textId="77777777" w:rsidR="009C5F4A" w:rsidRPr="00EB35D4" w:rsidRDefault="009C5F4A" w:rsidP="009F018E">
      <w:pPr>
        <w:pStyle w:val="ListParagraph"/>
        <w:numPr>
          <w:ilvl w:val="0"/>
          <w:numId w:val="29"/>
        </w:numPr>
        <w:ind w:left="851" w:hanging="851"/>
      </w:pPr>
      <w:r w:rsidRPr="00EB35D4">
        <w:t>Cooperative Research Centre for Innovative Dairy Products, Melbourne, VIC</w:t>
      </w:r>
    </w:p>
    <w:p w14:paraId="62C5C7CD" w14:textId="77777777" w:rsidR="009C5F4A" w:rsidRPr="00EB35D4" w:rsidRDefault="009C5F4A" w:rsidP="009F018E">
      <w:pPr>
        <w:pStyle w:val="ListParagraph"/>
        <w:numPr>
          <w:ilvl w:val="0"/>
          <w:numId w:val="29"/>
        </w:numPr>
        <w:ind w:left="851" w:hanging="851"/>
      </w:pPr>
      <w:r w:rsidRPr="00EB35D4">
        <w:t>Cotton Research and Development Corporation, Narrabri, NSW</w:t>
      </w:r>
    </w:p>
    <w:p w14:paraId="588EE627" w14:textId="77777777" w:rsidR="009C5F4A" w:rsidRPr="00EB35D4" w:rsidRDefault="009C5F4A" w:rsidP="009F018E">
      <w:pPr>
        <w:pStyle w:val="ListParagraph"/>
        <w:numPr>
          <w:ilvl w:val="0"/>
          <w:numId w:val="29"/>
        </w:numPr>
        <w:ind w:left="851" w:hanging="851"/>
      </w:pPr>
      <w:r w:rsidRPr="00EB35D4">
        <w:t>Pastoralists and Graziers Association of Western Australia, Belmont, WA</w:t>
      </w:r>
    </w:p>
    <w:p w14:paraId="7D204878" w14:textId="77777777" w:rsidR="009C5F4A" w:rsidRPr="00EB35D4" w:rsidRDefault="009C5F4A" w:rsidP="009F018E">
      <w:pPr>
        <w:pStyle w:val="ListParagraph"/>
        <w:numPr>
          <w:ilvl w:val="0"/>
          <w:numId w:val="29"/>
        </w:numPr>
        <w:ind w:left="851" w:hanging="851"/>
      </w:pPr>
      <w:r w:rsidRPr="00EB35D4">
        <w:t>Adrian Gibbs, Yarralumla, ACT</w:t>
      </w:r>
    </w:p>
    <w:p w14:paraId="5A892FC9" w14:textId="77777777" w:rsidR="009C5F4A" w:rsidRPr="00EB35D4" w:rsidRDefault="009C5F4A" w:rsidP="009F018E">
      <w:pPr>
        <w:pStyle w:val="ListParagraph"/>
        <w:numPr>
          <w:ilvl w:val="0"/>
          <w:numId w:val="29"/>
        </w:numPr>
        <w:ind w:left="851" w:hanging="851"/>
      </w:pPr>
      <w:r w:rsidRPr="00EB35D4">
        <w:t xml:space="preserve">Amanda </w:t>
      </w:r>
      <w:proofErr w:type="spellStart"/>
      <w:r w:rsidRPr="00EB35D4">
        <w:t>Gothard</w:t>
      </w:r>
      <w:proofErr w:type="spellEnd"/>
      <w:r w:rsidRPr="00EB35D4">
        <w:t>, Bulimba, QLD</w:t>
      </w:r>
    </w:p>
    <w:p w14:paraId="5BFB062A" w14:textId="77777777" w:rsidR="009C5F4A" w:rsidRPr="00EB35D4" w:rsidRDefault="009C5F4A" w:rsidP="009F018E">
      <w:pPr>
        <w:pStyle w:val="ListParagraph"/>
        <w:numPr>
          <w:ilvl w:val="0"/>
          <w:numId w:val="29"/>
        </w:numPr>
        <w:ind w:left="851" w:hanging="851"/>
      </w:pPr>
      <w:r w:rsidRPr="00EB35D4">
        <w:t>Deakin University, Geelong, VIC</w:t>
      </w:r>
    </w:p>
    <w:p w14:paraId="4828526C" w14:textId="77777777" w:rsidR="009C5F4A" w:rsidRPr="00EB35D4" w:rsidRDefault="009C5F4A" w:rsidP="009F018E">
      <w:pPr>
        <w:pStyle w:val="ListParagraph"/>
        <w:numPr>
          <w:ilvl w:val="0"/>
          <w:numId w:val="29"/>
        </w:numPr>
        <w:ind w:left="851" w:hanging="851"/>
      </w:pPr>
      <w:r w:rsidRPr="00EB35D4">
        <w:t xml:space="preserve">Lea J. </w:t>
      </w:r>
      <w:proofErr w:type="spellStart"/>
      <w:r w:rsidRPr="00EB35D4">
        <w:t>Gow</w:t>
      </w:r>
      <w:proofErr w:type="spellEnd"/>
      <w:r w:rsidRPr="00EB35D4">
        <w:t>, Unknown</w:t>
      </w:r>
    </w:p>
    <w:p w14:paraId="4DEED8EB" w14:textId="77777777" w:rsidR="009C5F4A" w:rsidRPr="00EB35D4" w:rsidRDefault="009C5F4A" w:rsidP="009F018E">
      <w:pPr>
        <w:pStyle w:val="ListParagraph"/>
        <w:numPr>
          <w:ilvl w:val="0"/>
          <w:numId w:val="29"/>
        </w:numPr>
        <w:ind w:left="851" w:hanging="851"/>
      </w:pPr>
      <w:r w:rsidRPr="00EB35D4">
        <w:t>Braidwood Greens, Braidwood, NSW</w:t>
      </w:r>
    </w:p>
    <w:p w14:paraId="5F04877C" w14:textId="77777777" w:rsidR="001E154E" w:rsidRPr="00EB35D4" w:rsidRDefault="009C5F4A" w:rsidP="009F018E">
      <w:pPr>
        <w:pStyle w:val="ListParagraph"/>
        <w:numPr>
          <w:ilvl w:val="0"/>
          <w:numId w:val="29"/>
        </w:numPr>
        <w:ind w:left="851" w:hanging="851"/>
      </w:pPr>
      <w:r w:rsidRPr="00EB35D4">
        <w:t>ARC Centre of Excellence for Integrative Legume Research, The University of Queensland, Brisbane, QLD</w:t>
      </w:r>
    </w:p>
    <w:p w14:paraId="4BCE9143" w14:textId="77777777" w:rsidR="001E154E" w:rsidRPr="00EB35D4" w:rsidRDefault="009C5F4A" w:rsidP="009F018E">
      <w:pPr>
        <w:pStyle w:val="ListParagraph"/>
        <w:numPr>
          <w:ilvl w:val="0"/>
          <w:numId w:val="29"/>
        </w:numPr>
        <w:ind w:left="851" w:hanging="851"/>
      </w:pPr>
      <w:r w:rsidRPr="00EB35D4">
        <w:lastRenderedPageBreak/>
        <w:t>SGA Solutions Pty Ltd, VIC</w:t>
      </w:r>
    </w:p>
    <w:p w14:paraId="4EA7A2C9" w14:textId="77777777" w:rsidR="001E154E" w:rsidRPr="00EB35D4" w:rsidRDefault="009C5F4A" w:rsidP="009F018E">
      <w:pPr>
        <w:pStyle w:val="ListParagraph"/>
        <w:numPr>
          <w:ilvl w:val="0"/>
          <w:numId w:val="29"/>
        </w:numPr>
        <w:ind w:left="851" w:hanging="851"/>
      </w:pPr>
      <w:r w:rsidRPr="00EB35D4">
        <w:t xml:space="preserve">Dr Sylvia </w:t>
      </w:r>
      <w:proofErr w:type="spellStart"/>
      <w:r w:rsidRPr="00EB35D4">
        <w:t>Lachberg</w:t>
      </w:r>
      <w:proofErr w:type="spellEnd"/>
      <w:r w:rsidRPr="00EB35D4">
        <w:t>, The University of Western Australia, WA</w:t>
      </w:r>
    </w:p>
    <w:p w14:paraId="101CE4FF" w14:textId="77777777" w:rsidR="001E154E" w:rsidRPr="00EB35D4" w:rsidRDefault="009C5F4A" w:rsidP="009F018E">
      <w:pPr>
        <w:pStyle w:val="ListParagraph"/>
        <w:numPr>
          <w:ilvl w:val="0"/>
          <w:numId w:val="29"/>
        </w:numPr>
        <w:ind w:left="851" w:hanging="851"/>
      </w:pPr>
      <w:r w:rsidRPr="00EB35D4">
        <w:t>Australian Network o</w:t>
      </w:r>
      <w:r w:rsidR="001E154E" w:rsidRPr="00EB35D4">
        <w:t>f Environmental Defenders’ Offi</w:t>
      </w:r>
      <w:r w:rsidRPr="00EB35D4">
        <w:t>ces, NSW</w:t>
      </w:r>
    </w:p>
    <w:p w14:paraId="3F89B44C" w14:textId="77777777" w:rsidR="001E154E" w:rsidRPr="00EB35D4" w:rsidRDefault="009C5F4A" w:rsidP="009F018E">
      <w:pPr>
        <w:pStyle w:val="ListParagraph"/>
        <w:numPr>
          <w:ilvl w:val="0"/>
          <w:numId w:val="29"/>
        </w:numPr>
        <w:ind w:left="851" w:hanging="851"/>
      </w:pPr>
      <w:r w:rsidRPr="00EB35D4">
        <w:t>Molecular Plant Breeding CRC, Bundoora, VIC</w:t>
      </w:r>
    </w:p>
    <w:p w14:paraId="20D6A127" w14:textId="77777777" w:rsidR="001E154E" w:rsidRPr="00EB35D4" w:rsidRDefault="009C5F4A" w:rsidP="009F018E">
      <w:pPr>
        <w:pStyle w:val="ListParagraph"/>
        <w:numPr>
          <w:ilvl w:val="0"/>
          <w:numId w:val="29"/>
        </w:numPr>
        <w:ind w:left="851" w:hanging="851"/>
      </w:pPr>
      <w:r w:rsidRPr="00EB35D4">
        <w:t>Monash University IBC, VIC</w:t>
      </w:r>
    </w:p>
    <w:p w14:paraId="64F10AF7" w14:textId="77777777" w:rsidR="001E154E" w:rsidRPr="00EB35D4" w:rsidRDefault="009C5F4A" w:rsidP="009F018E">
      <w:pPr>
        <w:pStyle w:val="ListParagraph"/>
        <w:numPr>
          <w:ilvl w:val="0"/>
          <w:numId w:val="29"/>
        </w:numPr>
        <w:ind w:left="851" w:hanging="851"/>
      </w:pPr>
      <w:r w:rsidRPr="00EB35D4">
        <w:t>Doreen Mackie, Edith Cowan University, Joondalup, WA</w:t>
      </w:r>
    </w:p>
    <w:p w14:paraId="0E3E8F9C" w14:textId="77777777" w:rsidR="001E154E" w:rsidRPr="00EB35D4" w:rsidRDefault="009C5F4A" w:rsidP="009F018E">
      <w:pPr>
        <w:pStyle w:val="ListParagraph"/>
        <w:numPr>
          <w:ilvl w:val="0"/>
          <w:numId w:val="29"/>
        </w:numPr>
        <w:ind w:left="851" w:hanging="851"/>
      </w:pPr>
      <w:r w:rsidRPr="00EB35D4">
        <w:t>Victorian Department of Human Services, Melbourne, VIC</w:t>
      </w:r>
    </w:p>
    <w:p w14:paraId="1117FA0A" w14:textId="77777777" w:rsidR="001E154E" w:rsidRPr="00EB35D4" w:rsidRDefault="001E154E" w:rsidP="009F018E">
      <w:pPr>
        <w:pStyle w:val="ListParagraph"/>
        <w:numPr>
          <w:ilvl w:val="0"/>
          <w:numId w:val="29"/>
        </w:numPr>
        <w:ind w:left="851" w:hanging="851"/>
      </w:pPr>
      <w:r w:rsidRPr="00EB35D4">
        <w:t>Pacifi</w:t>
      </w:r>
      <w:r w:rsidR="009C5F4A" w:rsidRPr="00EB35D4">
        <w:t>c Seeds Pty Ltd, Toowoomba, QLD</w:t>
      </w:r>
    </w:p>
    <w:p w14:paraId="5FE0051B" w14:textId="77777777" w:rsidR="001E154E" w:rsidRPr="00EB35D4" w:rsidRDefault="009C5F4A" w:rsidP="009F018E">
      <w:pPr>
        <w:pStyle w:val="ListParagraph"/>
        <w:numPr>
          <w:ilvl w:val="0"/>
          <w:numId w:val="29"/>
        </w:numPr>
        <w:ind w:left="851" w:hanging="851"/>
      </w:pPr>
      <w:r w:rsidRPr="00EB35D4">
        <w:t>Rugby Trading Co, Goondiwindi, QLD</w:t>
      </w:r>
    </w:p>
    <w:p w14:paraId="3030D4D8" w14:textId="77777777" w:rsidR="001E154E" w:rsidRPr="00EB35D4" w:rsidRDefault="009C5F4A" w:rsidP="009F018E">
      <w:pPr>
        <w:pStyle w:val="ListParagraph"/>
        <w:numPr>
          <w:ilvl w:val="0"/>
          <w:numId w:val="29"/>
        </w:numPr>
        <w:ind w:left="851" w:hanging="851"/>
      </w:pPr>
      <w:r w:rsidRPr="00EB35D4">
        <w:t>Heath Parker, Logan Village, QLD</w:t>
      </w:r>
    </w:p>
    <w:p w14:paraId="5C623BDB" w14:textId="77777777" w:rsidR="001E154E" w:rsidRPr="00EB35D4" w:rsidRDefault="009C5F4A" w:rsidP="009F018E">
      <w:pPr>
        <w:pStyle w:val="ListParagraph"/>
        <w:numPr>
          <w:ilvl w:val="0"/>
          <w:numId w:val="29"/>
        </w:numPr>
        <w:ind w:left="851" w:hanging="851"/>
      </w:pPr>
      <w:r w:rsidRPr="00EB35D4">
        <w:t>Ludwig Institute for Cancer Research, Melbourne, VIC</w:t>
      </w:r>
    </w:p>
    <w:p w14:paraId="3F9F3526" w14:textId="77777777" w:rsidR="001E154E" w:rsidRPr="00EB35D4" w:rsidRDefault="009C5F4A" w:rsidP="009F018E">
      <w:pPr>
        <w:pStyle w:val="ListParagraph"/>
        <w:numPr>
          <w:ilvl w:val="0"/>
          <w:numId w:val="29"/>
        </w:numPr>
        <w:ind w:left="851" w:hanging="851"/>
      </w:pPr>
      <w:r w:rsidRPr="00EB35D4">
        <w:t xml:space="preserve">Mark </w:t>
      </w:r>
      <w:proofErr w:type="spellStart"/>
      <w:r w:rsidRPr="00EB35D4">
        <w:t>Waud</w:t>
      </w:r>
      <w:proofErr w:type="spellEnd"/>
      <w:r w:rsidRPr="00EB35D4">
        <w:t>, Kendenup, WA</w:t>
      </w:r>
    </w:p>
    <w:p w14:paraId="59C6BE8E" w14:textId="77777777" w:rsidR="001E154E" w:rsidRPr="00EB35D4" w:rsidRDefault="009C5F4A" w:rsidP="009F018E">
      <w:pPr>
        <w:pStyle w:val="ListParagraph"/>
        <w:numPr>
          <w:ilvl w:val="0"/>
          <w:numId w:val="29"/>
        </w:numPr>
        <w:ind w:left="851" w:hanging="851"/>
      </w:pPr>
      <w:r w:rsidRPr="00EB35D4">
        <w:t>Kris Hanna MP, Member for Mitchell, SA</w:t>
      </w:r>
    </w:p>
    <w:p w14:paraId="38893FED" w14:textId="77777777" w:rsidR="001E154E" w:rsidRPr="00EB35D4" w:rsidRDefault="009C5F4A" w:rsidP="009F018E">
      <w:pPr>
        <w:pStyle w:val="ListParagraph"/>
        <w:numPr>
          <w:ilvl w:val="0"/>
          <w:numId w:val="29"/>
        </w:numPr>
        <w:ind w:left="851" w:hanging="851"/>
      </w:pPr>
      <w:r w:rsidRPr="00EB35D4">
        <w:t>Australian Pesticides &amp; Veterinary Medicines Authority, Barton, ACT</w:t>
      </w:r>
    </w:p>
    <w:p w14:paraId="046647FC" w14:textId="77777777" w:rsidR="001E154E" w:rsidRPr="00EB35D4" w:rsidRDefault="001E154E" w:rsidP="009F018E">
      <w:pPr>
        <w:pStyle w:val="ListParagraph"/>
        <w:numPr>
          <w:ilvl w:val="0"/>
          <w:numId w:val="29"/>
        </w:numPr>
        <w:ind w:left="851" w:hanging="851"/>
      </w:pPr>
      <w:r w:rsidRPr="00EB35D4">
        <w:t>Offi</w:t>
      </w:r>
      <w:r w:rsidR="009C5F4A" w:rsidRPr="00EB35D4">
        <w:t>ce of Research, Flinders University Adelaide, SA</w:t>
      </w:r>
    </w:p>
    <w:p w14:paraId="62E43CB3" w14:textId="77777777" w:rsidR="001E154E" w:rsidRPr="00EB35D4" w:rsidRDefault="009C5F4A" w:rsidP="009F018E">
      <w:pPr>
        <w:pStyle w:val="ListParagraph"/>
        <w:numPr>
          <w:ilvl w:val="0"/>
          <w:numId w:val="29"/>
        </w:numPr>
        <w:ind w:left="851" w:hanging="851"/>
      </w:pPr>
      <w:r w:rsidRPr="00EB35D4">
        <w:t>National Council of Women of Australia Inc Ltd, Deakin, ACT</w:t>
      </w:r>
    </w:p>
    <w:p w14:paraId="68F99B08" w14:textId="77777777" w:rsidR="001E154E" w:rsidRPr="00EB35D4" w:rsidRDefault="009C5F4A" w:rsidP="009F018E">
      <w:pPr>
        <w:pStyle w:val="ListParagraph"/>
        <w:numPr>
          <w:ilvl w:val="0"/>
          <w:numId w:val="29"/>
        </w:numPr>
        <w:ind w:left="851" w:hanging="851"/>
      </w:pPr>
      <w:r w:rsidRPr="00EB35D4">
        <w:t>Department of Primary Industries, Water and Environment, TAS</w:t>
      </w:r>
    </w:p>
    <w:p w14:paraId="4ABD7359" w14:textId="77777777" w:rsidR="001E154E" w:rsidRPr="00EB35D4" w:rsidRDefault="009C5F4A" w:rsidP="009F018E">
      <w:pPr>
        <w:pStyle w:val="ListParagraph"/>
        <w:numPr>
          <w:ilvl w:val="0"/>
          <w:numId w:val="29"/>
        </w:numPr>
        <w:ind w:left="851" w:hanging="851"/>
      </w:pPr>
      <w:r w:rsidRPr="00EB35D4">
        <w:t>Institute of Health and Environmental Research Inc, Kensington Park, SA</w:t>
      </w:r>
    </w:p>
    <w:p w14:paraId="60FEF752" w14:textId="77777777" w:rsidR="001E154E" w:rsidRPr="00EB35D4" w:rsidRDefault="009C5F4A" w:rsidP="009F018E">
      <w:pPr>
        <w:pStyle w:val="ListParagraph"/>
        <w:numPr>
          <w:ilvl w:val="0"/>
          <w:numId w:val="29"/>
        </w:numPr>
        <w:ind w:left="851" w:hanging="851"/>
      </w:pPr>
      <w:r w:rsidRPr="00EB35D4">
        <w:t>Tony Cush, Gwydir Valley, NSW</w:t>
      </w:r>
    </w:p>
    <w:p w14:paraId="3062E466" w14:textId="77777777" w:rsidR="001E154E" w:rsidRPr="00EB35D4" w:rsidRDefault="009C5F4A" w:rsidP="009F018E">
      <w:pPr>
        <w:pStyle w:val="ListParagraph"/>
        <w:numPr>
          <w:ilvl w:val="0"/>
          <w:numId w:val="29"/>
        </w:numPr>
        <w:ind w:left="851" w:hanging="851"/>
      </w:pPr>
      <w:proofErr w:type="spellStart"/>
      <w:r w:rsidRPr="00EB35D4">
        <w:t>GeneEthics</w:t>
      </w:r>
      <w:proofErr w:type="spellEnd"/>
      <w:r w:rsidRPr="00EB35D4">
        <w:t xml:space="preserve"> Network, Carlton, VIC</w:t>
      </w:r>
    </w:p>
    <w:p w14:paraId="5CE0EE33" w14:textId="77777777" w:rsidR="001E154E" w:rsidRPr="00EB35D4" w:rsidRDefault="009C5F4A" w:rsidP="009F018E">
      <w:pPr>
        <w:pStyle w:val="ListParagraph"/>
        <w:numPr>
          <w:ilvl w:val="0"/>
          <w:numId w:val="29"/>
        </w:numPr>
        <w:ind w:left="851" w:hanging="851"/>
      </w:pPr>
      <w:r w:rsidRPr="00EB35D4">
        <w:t>National Farmers’ Federation, Barton, ACT</w:t>
      </w:r>
    </w:p>
    <w:p w14:paraId="3C1F0FDE" w14:textId="77777777" w:rsidR="001E154E" w:rsidRPr="00EB35D4" w:rsidRDefault="009C5F4A" w:rsidP="009F018E">
      <w:pPr>
        <w:pStyle w:val="ListParagraph"/>
        <w:numPr>
          <w:ilvl w:val="0"/>
          <w:numId w:val="29"/>
        </w:numPr>
        <w:ind w:left="851" w:hanging="851"/>
      </w:pPr>
      <w:r w:rsidRPr="00EB35D4">
        <w:t>Food Standards Australian &amp; New Zealand, Barton, ACT</w:t>
      </w:r>
    </w:p>
    <w:p w14:paraId="0EB07C5C" w14:textId="77777777" w:rsidR="001E154E" w:rsidRPr="00EB35D4" w:rsidRDefault="009C5F4A" w:rsidP="009F018E">
      <w:pPr>
        <w:pStyle w:val="ListParagraph"/>
        <w:numPr>
          <w:ilvl w:val="0"/>
          <w:numId w:val="29"/>
        </w:numPr>
        <w:ind w:left="851" w:hanging="851"/>
      </w:pPr>
      <w:r w:rsidRPr="00EB35D4">
        <w:t>Professor Barry Marshall, The University of Western Australia, WA</w:t>
      </w:r>
    </w:p>
    <w:p w14:paraId="239F9E8E" w14:textId="77777777" w:rsidR="001E154E" w:rsidRPr="00EB35D4" w:rsidRDefault="009C5F4A" w:rsidP="009F018E">
      <w:pPr>
        <w:pStyle w:val="ListParagraph"/>
        <w:numPr>
          <w:ilvl w:val="0"/>
          <w:numId w:val="29"/>
        </w:numPr>
        <w:ind w:left="851" w:hanging="851"/>
      </w:pPr>
      <w:r w:rsidRPr="00EB35D4">
        <w:t xml:space="preserve">Rick Calitz, </w:t>
      </w:r>
      <w:proofErr w:type="spellStart"/>
      <w:r w:rsidRPr="00EB35D4">
        <w:t>Glenusk</w:t>
      </w:r>
      <w:proofErr w:type="spellEnd"/>
      <w:r w:rsidRPr="00EB35D4">
        <w:t>, TAS</w:t>
      </w:r>
    </w:p>
    <w:p w14:paraId="3D926BDA" w14:textId="77777777" w:rsidR="001E154E" w:rsidRPr="00EB35D4" w:rsidRDefault="009C5F4A" w:rsidP="009F018E">
      <w:pPr>
        <w:pStyle w:val="ListParagraph"/>
        <w:numPr>
          <w:ilvl w:val="0"/>
          <w:numId w:val="29"/>
        </w:numPr>
        <w:ind w:left="851" w:hanging="851"/>
      </w:pPr>
      <w:r w:rsidRPr="00EB35D4">
        <w:t xml:space="preserve">Jeff </w:t>
      </w:r>
      <w:proofErr w:type="spellStart"/>
      <w:r w:rsidRPr="00EB35D4">
        <w:t>Bidstrup</w:t>
      </w:r>
      <w:proofErr w:type="spellEnd"/>
      <w:r w:rsidRPr="00EB35D4">
        <w:t>, Warra, QLD</w:t>
      </w:r>
    </w:p>
    <w:p w14:paraId="354061DD" w14:textId="77777777" w:rsidR="001E154E" w:rsidRPr="00EB35D4" w:rsidRDefault="009C5F4A" w:rsidP="009F018E">
      <w:pPr>
        <w:pStyle w:val="ListParagraph"/>
        <w:numPr>
          <w:ilvl w:val="0"/>
          <w:numId w:val="29"/>
        </w:numPr>
        <w:ind w:left="851" w:hanging="851"/>
      </w:pPr>
      <w:r w:rsidRPr="00EB35D4">
        <w:t>Producers Forum, NSW</w:t>
      </w:r>
    </w:p>
    <w:p w14:paraId="01F722B2" w14:textId="77777777" w:rsidR="001E154E" w:rsidRPr="00EB35D4" w:rsidRDefault="009C5F4A" w:rsidP="009F018E">
      <w:pPr>
        <w:pStyle w:val="ListParagraph"/>
        <w:numPr>
          <w:ilvl w:val="0"/>
          <w:numId w:val="29"/>
        </w:numPr>
        <w:ind w:left="851" w:hanging="851"/>
      </w:pPr>
      <w:r w:rsidRPr="00EB35D4">
        <w:t>Mr Mark Smith, Westmead, NSW</w:t>
      </w:r>
    </w:p>
    <w:p w14:paraId="00FABE1D" w14:textId="77777777" w:rsidR="001E154E" w:rsidRPr="00EB35D4" w:rsidRDefault="009C5F4A" w:rsidP="009F018E">
      <w:pPr>
        <w:pStyle w:val="ListParagraph"/>
        <w:numPr>
          <w:ilvl w:val="0"/>
          <w:numId w:val="29"/>
        </w:numPr>
        <w:ind w:left="851" w:hanging="851"/>
      </w:pPr>
      <w:r w:rsidRPr="00EB35D4">
        <w:t>Network of Concerned Farmers, WA</w:t>
      </w:r>
    </w:p>
    <w:p w14:paraId="2E5C21E6" w14:textId="77777777" w:rsidR="001E154E" w:rsidRPr="00EB35D4" w:rsidRDefault="009C5F4A" w:rsidP="009F018E">
      <w:pPr>
        <w:pStyle w:val="ListParagraph"/>
        <w:numPr>
          <w:ilvl w:val="0"/>
          <w:numId w:val="29"/>
        </w:numPr>
        <w:ind w:left="851" w:hanging="851"/>
      </w:pPr>
      <w:r w:rsidRPr="00EB35D4">
        <w:t>ABB Grain Ltd, Adelaide, SA</w:t>
      </w:r>
    </w:p>
    <w:p w14:paraId="1F8D4A58" w14:textId="77777777" w:rsidR="001E154E" w:rsidRPr="00EB35D4" w:rsidRDefault="009C5F4A" w:rsidP="009F018E">
      <w:pPr>
        <w:pStyle w:val="ListParagraph"/>
        <w:numPr>
          <w:ilvl w:val="0"/>
          <w:numId w:val="29"/>
        </w:numPr>
        <w:ind w:left="851" w:hanging="851"/>
      </w:pPr>
      <w:r w:rsidRPr="00EB35D4">
        <w:t>Australian Oilseeds Federation, NSW</w:t>
      </w:r>
    </w:p>
    <w:p w14:paraId="0A69D7D8" w14:textId="77777777" w:rsidR="001E154E" w:rsidRPr="00EB35D4" w:rsidRDefault="009C5F4A" w:rsidP="009F018E">
      <w:pPr>
        <w:pStyle w:val="ListParagraph"/>
        <w:numPr>
          <w:ilvl w:val="0"/>
          <w:numId w:val="29"/>
        </w:numPr>
        <w:ind w:left="851" w:hanging="851"/>
      </w:pPr>
      <w:r w:rsidRPr="00EB35D4">
        <w:t>Biological Farmers of Australia, Brisbane, QLD</w:t>
      </w:r>
    </w:p>
    <w:p w14:paraId="198A2857" w14:textId="77777777" w:rsidR="001E154E" w:rsidRPr="00EB35D4" w:rsidRDefault="001E154E" w:rsidP="009F018E">
      <w:pPr>
        <w:pStyle w:val="ListParagraph"/>
        <w:numPr>
          <w:ilvl w:val="0"/>
          <w:numId w:val="29"/>
        </w:numPr>
        <w:ind w:left="851" w:hanging="851"/>
      </w:pPr>
      <w:r w:rsidRPr="00EB35D4">
        <w:t>Offi</w:t>
      </w:r>
      <w:r w:rsidR="009C5F4A" w:rsidRPr="00EB35D4">
        <w:t>ce of Gene Technology Regulator, Woden, ACT</w:t>
      </w:r>
    </w:p>
    <w:p w14:paraId="643A498A" w14:textId="77777777" w:rsidR="001E154E" w:rsidRPr="00EB35D4" w:rsidRDefault="009C5F4A" w:rsidP="009F018E">
      <w:pPr>
        <w:pStyle w:val="ListParagraph"/>
        <w:numPr>
          <w:ilvl w:val="0"/>
          <w:numId w:val="29"/>
        </w:numPr>
        <w:ind w:left="851" w:hanging="851"/>
      </w:pPr>
      <w:r w:rsidRPr="00EB35D4">
        <w:t>Australian Consumers’ Association, Marrickville, NSW</w:t>
      </w:r>
    </w:p>
    <w:p w14:paraId="2B24109C" w14:textId="77777777" w:rsidR="001E154E" w:rsidRPr="00EB35D4" w:rsidRDefault="009C5F4A" w:rsidP="009F018E">
      <w:pPr>
        <w:pStyle w:val="ListParagraph"/>
        <w:numPr>
          <w:ilvl w:val="0"/>
          <w:numId w:val="29"/>
        </w:numPr>
        <w:ind w:left="851" w:hanging="851"/>
      </w:pPr>
      <w:r w:rsidRPr="00EB35D4">
        <w:t>Victorian Department of Human Services, VIC</w:t>
      </w:r>
    </w:p>
    <w:p w14:paraId="219DE7D2" w14:textId="77777777" w:rsidR="001E154E" w:rsidRPr="00EB35D4" w:rsidRDefault="009C5F4A" w:rsidP="009F018E">
      <w:pPr>
        <w:pStyle w:val="ListParagraph"/>
        <w:numPr>
          <w:ilvl w:val="0"/>
          <w:numId w:val="29"/>
        </w:numPr>
        <w:ind w:left="851" w:hanging="851"/>
      </w:pPr>
      <w:r w:rsidRPr="00EB35D4">
        <w:t>Kim Chance MLC, Western Australia Minister for Agriculture and Forestry, WA</w:t>
      </w:r>
    </w:p>
    <w:p w14:paraId="41D33124" w14:textId="77777777" w:rsidR="001E154E" w:rsidRPr="00EB35D4" w:rsidRDefault="009C5F4A" w:rsidP="009F018E">
      <w:pPr>
        <w:pStyle w:val="ListParagraph"/>
        <w:numPr>
          <w:ilvl w:val="0"/>
          <w:numId w:val="29"/>
        </w:numPr>
        <w:ind w:left="851" w:hanging="851"/>
      </w:pPr>
      <w:r w:rsidRPr="00EB35D4">
        <w:t>The National Health and Medical Research Council, ACT</w:t>
      </w:r>
    </w:p>
    <w:p w14:paraId="5E11015A" w14:textId="77777777" w:rsidR="001E154E" w:rsidRPr="00EB35D4" w:rsidRDefault="009C5F4A" w:rsidP="009F018E">
      <w:pPr>
        <w:pStyle w:val="ListParagraph"/>
        <w:numPr>
          <w:ilvl w:val="0"/>
          <w:numId w:val="29"/>
        </w:numPr>
        <w:ind w:left="851" w:hanging="851"/>
      </w:pPr>
      <w:r w:rsidRPr="00EB35D4">
        <w:t>South Australian Government, SA</w:t>
      </w:r>
    </w:p>
    <w:p w14:paraId="4D6DBA47" w14:textId="77777777" w:rsidR="001E154E" w:rsidRPr="00EB35D4" w:rsidRDefault="009C5F4A" w:rsidP="009F018E">
      <w:pPr>
        <w:pStyle w:val="ListParagraph"/>
        <w:numPr>
          <w:ilvl w:val="0"/>
          <w:numId w:val="29"/>
        </w:numPr>
        <w:ind w:left="851" w:hanging="851"/>
      </w:pPr>
      <w:r w:rsidRPr="00EB35D4">
        <w:t>Queensland Government, QLD</w:t>
      </w:r>
    </w:p>
    <w:p w14:paraId="059014CE" w14:textId="77777777" w:rsidR="001E154E" w:rsidRPr="00EB35D4" w:rsidRDefault="009C5F4A" w:rsidP="009F018E">
      <w:pPr>
        <w:pStyle w:val="ListParagraph"/>
        <w:numPr>
          <w:ilvl w:val="0"/>
          <w:numId w:val="29"/>
        </w:numPr>
        <w:ind w:left="851" w:hanging="851"/>
      </w:pPr>
      <w:r w:rsidRPr="00EB35D4">
        <w:t>Australian Government, Secretaries’ Committee on Biotechnology, Civic, ACT</w:t>
      </w:r>
    </w:p>
    <w:p w14:paraId="037AE29B" w14:textId="77777777" w:rsidR="001E154E" w:rsidRPr="00EB35D4" w:rsidRDefault="009C5F4A" w:rsidP="009F018E">
      <w:pPr>
        <w:pStyle w:val="ListParagraph"/>
        <w:numPr>
          <w:ilvl w:val="0"/>
          <w:numId w:val="29"/>
        </w:numPr>
        <w:ind w:left="851" w:hanging="851"/>
      </w:pPr>
      <w:r w:rsidRPr="00EB35D4">
        <w:t>Malcolm Carpenter, Macquarie Valley, NSW</w:t>
      </w:r>
    </w:p>
    <w:p w14:paraId="1C53F787" w14:textId="77777777" w:rsidR="001E154E" w:rsidRPr="00EB35D4" w:rsidRDefault="009C5F4A" w:rsidP="009F018E">
      <w:pPr>
        <w:pStyle w:val="ListParagraph"/>
        <w:numPr>
          <w:ilvl w:val="0"/>
          <w:numId w:val="29"/>
        </w:numPr>
        <w:ind w:left="851" w:hanging="851"/>
      </w:pPr>
      <w:r w:rsidRPr="00EB35D4">
        <w:t>Michele Smith, Billy’s Creek, NSW</w:t>
      </w:r>
    </w:p>
    <w:p w14:paraId="5C4BB7C1" w14:textId="77777777" w:rsidR="001E154E" w:rsidRPr="00EB35D4" w:rsidRDefault="009C5F4A" w:rsidP="009F018E">
      <w:pPr>
        <w:pStyle w:val="ListParagraph"/>
        <w:numPr>
          <w:ilvl w:val="0"/>
          <w:numId w:val="29"/>
        </w:numPr>
        <w:ind w:left="851" w:hanging="851"/>
      </w:pPr>
      <w:r w:rsidRPr="00EB35D4">
        <w:t>Madonna Hodges, Earlwood, NSW</w:t>
      </w:r>
    </w:p>
    <w:p w14:paraId="5FD54C6A" w14:textId="77777777" w:rsidR="001E154E" w:rsidRPr="00EB35D4" w:rsidRDefault="009C5F4A" w:rsidP="009F018E">
      <w:pPr>
        <w:pStyle w:val="ListParagraph"/>
        <w:numPr>
          <w:ilvl w:val="0"/>
          <w:numId w:val="29"/>
        </w:numPr>
        <w:ind w:left="851" w:hanging="851"/>
      </w:pPr>
      <w:r w:rsidRPr="00EB35D4">
        <w:t>Tara Cully, Brisbane, QLD</w:t>
      </w:r>
    </w:p>
    <w:p w14:paraId="14E16E87" w14:textId="77777777" w:rsidR="001E154E" w:rsidRPr="00EB35D4" w:rsidRDefault="009C5F4A" w:rsidP="009F018E">
      <w:pPr>
        <w:pStyle w:val="ListParagraph"/>
        <w:numPr>
          <w:ilvl w:val="0"/>
          <w:numId w:val="29"/>
        </w:numPr>
        <w:ind w:left="851" w:hanging="851"/>
      </w:pPr>
      <w:r w:rsidRPr="00EB35D4">
        <w:t>Mark Bailey, Dallas Texas, USA</w:t>
      </w:r>
    </w:p>
    <w:p w14:paraId="2759F9BA" w14:textId="77777777" w:rsidR="001E154E" w:rsidRPr="00EB35D4" w:rsidRDefault="009C5F4A" w:rsidP="009F018E">
      <w:pPr>
        <w:pStyle w:val="ListParagraph"/>
        <w:numPr>
          <w:ilvl w:val="0"/>
          <w:numId w:val="29"/>
        </w:numPr>
        <w:ind w:left="851" w:hanging="851"/>
      </w:pPr>
      <w:r w:rsidRPr="00EB35D4">
        <w:t>Chris Grant, Footscray West, VIC</w:t>
      </w:r>
    </w:p>
    <w:p w14:paraId="41CE0F64" w14:textId="77777777" w:rsidR="001E154E" w:rsidRPr="00EB35D4" w:rsidRDefault="009C5F4A" w:rsidP="009F018E">
      <w:pPr>
        <w:pStyle w:val="ListParagraph"/>
        <w:numPr>
          <w:ilvl w:val="0"/>
          <w:numId w:val="29"/>
        </w:numPr>
        <w:ind w:left="851" w:hanging="851"/>
      </w:pPr>
      <w:r w:rsidRPr="00EB35D4">
        <w:t>Garry Jenkins, Mulgrave, VIC</w:t>
      </w:r>
    </w:p>
    <w:p w14:paraId="1931395C" w14:textId="77777777" w:rsidR="001E154E" w:rsidRPr="00EB35D4" w:rsidRDefault="009C5F4A" w:rsidP="009F018E">
      <w:pPr>
        <w:pStyle w:val="ListParagraph"/>
        <w:numPr>
          <w:ilvl w:val="0"/>
          <w:numId w:val="29"/>
        </w:numPr>
        <w:ind w:left="851" w:hanging="851"/>
      </w:pPr>
      <w:r w:rsidRPr="00EB35D4">
        <w:t>Monette Lee Smith, Tallebudgera Valley, QLD</w:t>
      </w:r>
    </w:p>
    <w:p w14:paraId="10724395" w14:textId="77777777" w:rsidR="001E154E" w:rsidRPr="00EB35D4" w:rsidRDefault="001E154E" w:rsidP="009F018E">
      <w:pPr>
        <w:pStyle w:val="ListParagraph"/>
        <w:numPr>
          <w:ilvl w:val="0"/>
          <w:numId w:val="29"/>
        </w:numPr>
        <w:ind w:left="851" w:hanging="851"/>
      </w:pPr>
      <w:r w:rsidRPr="00EB35D4">
        <w:t>Noelle Rattray, Hobart, TAS</w:t>
      </w:r>
    </w:p>
    <w:p w14:paraId="0A9777B6" w14:textId="77777777" w:rsidR="001E154E" w:rsidRPr="00EB35D4" w:rsidRDefault="009C5F4A" w:rsidP="009F018E">
      <w:pPr>
        <w:pStyle w:val="ListParagraph"/>
        <w:numPr>
          <w:ilvl w:val="0"/>
          <w:numId w:val="29"/>
        </w:numPr>
        <w:ind w:left="851" w:hanging="851"/>
      </w:pPr>
      <w:r w:rsidRPr="00EB35D4">
        <w:lastRenderedPageBreak/>
        <w:t>Ian MacDonald MLC. NSW Minister for Natural Resources, Primary Industries</w:t>
      </w:r>
      <w:r w:rsidR="001E154E" w:rsidRPr="00EB35D4">
        <w:t xml:space="preserve"> </w:t>
      </w:r>
      <w:r w:rsidRPr="00EB35D4">
        <w:t>and Mineral Resources, Sydney, NSW</w:t>
      </w:r>
    </w:p>
    <w:p w14:paraId="6FD826A7" w14:textId="77777777" w:rsidR="009C5F4A" w:rsidRPr="00EB35D4" w:rsidRDefault="009C5F4A" w:rsidP="009F018E">
      <w:pPr>
        <w:pStyle w:val="ListParagraph"/>
        <w:numPr>
          <w:ilvl w:val="0"/>
          <w:numId w:val="29"/>
        </w:numPr>
        <w:ind w:left="851" w:hanging="851"/>
      </w:pPr>
      <w:r w:rsidRPr="00EB35D4">
        <w:t>Brooke Corrigan, North Lambton, NSW</w:t>
      </w:r>
    </w:p>
    <w:p w14:paraId="524FD4F2" w14:textId="77777777" w:rsidR="00767771" w:rsidRPr="009C5F4A" w:rsidRDefault="00767771" w:rsidP="00767771">
      <w:pPr>
        <w:rPr>
          <w:rFonts w:asciiTheme="minorHAnsi" w:hAnsiTheme="minorHAnsi" w:cstheme="minorHAnsi"/>
          <w:szCs w:val="22"/>
        </w:rPr>
      </w:pPr>
      <w:r w:rsidRPr="009C5F4A">
        <w:rPr>
          <w:rFonts w:asciiTheme="minorHAnsi" w:hAnsiTheme="minorHAnsi" w:cstheme="minorHAnsi"/>
          <w:szCs w:val="22"/>
        </w:rPr>
        <w:br w:type="page"/>
      </w:r>
    </w:p>
    <w:p w14:paraId="5BA9208E" w14:textId="1039DB1C" w:rsidR="003E3578" w:rsidRPr="00B42588" w:rsidRDefault="00E672EA" w:rsidP="00F14474">
      <w:pPr>
        <w:pStyle w:val="Heading1"/>
      </w:pPr>
      <w:bookmarkStart w:id="81" w:name="_Toc95326315"/>
      <w:r w:rsidRPr="00B42588">
        <w:lastRenderedPageBreak/>
        <w:t>Appendix 3</w:t>
      </w:r>
      <w:bookmarkEnd w:id="81"/>
    </w:p>
    <w:p w14:paraId="0252BCDC" w14:textId="77777777" w:rsidR="00B42588" w:rsidRPr="00F14474" w:rsidRDefault="00B42588" w:rsidP="00F14474">
      <w:pPr>
        <w:pStyle w:val="Heading2"/>
      </w:pPr>
      <w:bookmarkStart w:id="82" w:name="_Toc95326316"/>
      <w:r w:rsidRPr="00F14474">
        <w:t>List of attendees who appeared before the panel at public consultations</w:t>
      </w:r>
      <w:bookmarkEnd w:id="82"/>
    </w:p>
    <w:p w14:paraId="6C27A920" w14:textId="206CB6F2" w:rsidR="00B42588" w:rsidRPr="00B42588" w:rsidRDefault="00B42588" w:rsidP="009F1A2B">
      <w:pPr>
        <w:pStyle w:val="Heading3"/>
      </w:pPr>
      <w:r w:rsidRPr="00B42588">
        <w:t>Canberra (ACT), Friday, 21 October 2005</w:t>
      </w:r>
    </w:p>
    <w:p w14:paraId="4890255D" w14:textId="77777777" w:rsidR="00B42588" w:rsidRPr="009F1A2B" w:rsidRDefault="00B42588" w:rsidP="009F018E">
      <w:pPr>
        <w:pStyle w:val="ListParagraph"/>
        <w:numPr>
          <w:ilvl w:val="0"/>
          <w:numId w:val="30"/>
        </w:numPr>
        <w:ind w:left="851" w:hanging="851"/>
      </w:pPr>
      <w:r w:rsidRPr="009F1A2B">
        <w:t>Gordon Abraham</w:t>
      </w:r>
    </w:p>
    <w:p w14:paraId="5CF63A9F" w14:textId="77777777" w:rsidR="00B42588" w:rsidRPr="009F1A2B" w:rsidRDefault="00B42588" w:rsidP="009F018E">
      <w:pPr>
        <w:pStyle w:val="ListParagraph"/>
        <w:numPr>
          <w:ilvl w:val="0"/>
          <w:numId w:val="30"/>
        </w:numPr>
        <w:ind w:left="851" w:hanging="851"/>
      </w:pPr>
      <w:r w:rsidRPr="009F1A2B">
        <w:t>Pat Osborne</w:t>
      </w:r>
    </w:p>
    <w:p w14:paraId="6D33DDCB" w14:textId="77777777" w:rsidR="00B42588" w:rsidRPr="009F1A2B" w:rsidRDefault="00B42588" w:rsidP="009F018E">
      <w:pPr>
        <w:pStyle w:val="ListParagraph"/>
        <w:numPr>
          <w:ilvl w:val="0"/>
          <w:numId w:val="30"/>
        </w:numPr>
        <w:ind w:left="851" w:hanging="851"/>
      </w:pPr>
      <w:r w:rsidRPr="009F1A2B">
        <w:t>Kim Sweeney</w:t>
      </w:r>
    </w:p>
    <w:p w14:paraId="79D0B47F" w14:textId="77777777" w:rsidR="00B42588" w:rsidRPr="009F1A2B" w:rsidRDefault="00B42588" w:rsidP="009F018E">
      <w:pPr>
        <w:pStyle w:val="ListParagraph"/>
        <w:numPr>
          <w:ilvl w:val="0"/>
          <w:numId w:val="30"/>
        </w:numPr>
        <w:ind w:left="851" w:hanging="851"/>
      </w:pPr>
      <w:r w:rsidRPr="009F1A2B">
        <w:t>Adrian Gibbs</w:t>
      </w:r>
    </w:p>
    <w:p w14:paraId="56A960CD" w14:textId="77777777" w:rsidR="00B42588" w:rsidRPr="009F1A2B" w:rsidRDefault="00B42588" w:rsidP="009F018E">
      <w:pPr>
        <w:pStyle w:val="ListParagraph"/>
        <w:numPr>
          <w:ilvl w:val="0"/>
          <w:numId w:val="30"/>
        </w:numPr>
        <w:ind w:left="851" w:hanging="851"/>
      </w:pPr>
      <w:r w:rsidRPr="009F1A2B">
        <w:t>Juliet McFarlane (Network of Concerned Farmers)</w:t>
      </w:r>
    </w:p>
    <w:p w14:paraId="3AF36B45" w14:textId="77777777" w:rsidR="00B42588" w:rsidRPr="009F1A2B" w:rsidRDefault="00B42588" w:rsidP="009F018E">
      <w:pPr>
        <w:pStyle w:val="ListParagraph"/>
        <w:numPr>
          <w:ilvl w:val="0"/>
          <w:numId w:val="30"/>
        </w:numPr>
        <w:ind w:left="851" w:hanging="851"/>
      </w:pPr>
      <w:r w:rsidRPr="009F1A2B">
        <w:t>Ross Downes</w:t>
      </w:r>
    </w:p>
    <w:p w14:paraId="276704E5" w14:textId="77777777" w:rsidR="00B42588" w:rsidRPr="009F1A2B" w:rsidRDefault="00B42588" w:rsidP="009F018E">
      <w:pPr>
        <w:pStyle w:val="ListParagraph"/>
        <w:numPr>
          <w:ilvl w:val="0"/>
          <w:numId w:val="30"/>
        </w:numPr>
        <w:ind w:left="851" w:hanging="851"/>
      </w:pPr>
      <w:r w:rsidRPr="009F1A2B">
        <w:t xml:space="preserve">Andreas </w:t>
      </w:r>
      <w:proofErr w:type="spellStart"/>
      <w:r w:rsidRPr="009F1A2B">
        <w:t>Betzner</w:t>
      </w:r>
      <w:proofErr w:type="spellEnd"/>
    </w:p>
    <w:p w14:paraId="36337BF7" w14:textId="77777777" w:rsidR="00B42588" w:rsidRPr="009F1A2B" w:rsidRDefault="00B42588" w:rsidP="009F018E">
      <w:pPr>
        <w:pStyle w:val="ListParagraph"/>
        <w:numPr>
          <w:ilvl w:val="0"/>
          <w:numId w:val="30"/>
        </w:numPr>
        <w:ind w:left="851" w:hanging="851"/>
      </w:pPr>
      <w:r w:rsidRPr="009F1A2B">
        <w:t>TJ Higgins (CSIRO)</w:t>
      </w:r>
    </w:p>
    <w:p w14:paraId="7027841A" w14:textId="77777777" w:rsidR="00B42588" w:rsidRPr="009F1A2B" w:rsidRDefault="00B42588" w:rsidP="009F018E">
      <w:pPr>
        <w:pStyle w:val="ListParagraph"/>
        <w:numPr>
          <w:ilvl w:val="0"/>
          <w:numId w:val="30"/>
        </w:numPr>
        <w:ind w:left="851" w:hanging="851"/>
      </w:pPr>
      <w:r w:rsidRPr="009F1A2B">
        <w:t>Mikael Hirsch (CSIRO)</w:t>
      </w:r>
    </w:p>
    <w:p w14:paraId="3703BD53" w14:textId="77777777" w:rsidR="00B42588" w:rsidRPr="009F1A2B" w:rsidRDefault="00B42588" w:rsidP="009F018E">
      <w:pPr>
        <w:pStyle w:val="ListParagraph"/>
        <w:numPr>
          <w:ilvl w:val="0"/>
          <w:numId w:val="30"/>
        </w:numPr>
        <w:ind w:left="851" w:hanging="851"/>
      </w:pPr>
      <w:r w:rsidRPr="009F1A2B">
        <w:t xml:space="preserve">Peter </w:t>
      </w:r>
      <w:proofErr w:type="spellStart"/>
      <w:r w:rsidRPr="009F1A2B">
        <w:t>Stoutjesdijk</w:t>
      </w:r>
      <w:proofErr w:type="spellEnd"/>
      <w:r w:rsidRPr="009F1A2B">
        <w:t xml:space="preserve"> (CSIRO)</w:t>
      </w:r>
    </w:p>
    <w:p w14:paraId="2582F7F0" w14:textId="77777777" w:rsidR="00B42588" w:rsidRPr="009F1A2B" w:rsidRDefault="00B42588" w:rsidP="009F018E">
      <w:pPr>
        <w:pStyle w:val="ListParagraph"/>
        <w:numPr>
          <w:ilvl w:val="0"/>
          <w:numId w:val="30"/>
        </w:numPr>
        <w:ind w:left="851" w:hanging="851"/>
      </w:pPr>
      <w:r w:rsidRPr="009F1A2B">
        <w:t>Donald McFarlane (Canola Grower)</w:t>
      </w:r>
    </w:p>
    <w:p w14:paraId="2C6E8369" w14:textId="77777777" w:rsidR="00B42588" w:rsidRPr="009F1A2B" w:rsidRDefault="00B42588" w:rsidP="009F018E">
      <w:pPr>
        <w:pStyle w:val="ListParagraph"/>
        <w:numPr>
          <w:ilvl w:val="0"/>
          <w:numId w:val="30"/>
        </w:numPr>
        <w:ind w:left="851" w:hanging="851"/>
      </w:pPr>
      <w:r w:rsidRPr="009F1A2B">
        <w:t xml:space="preserve">Maarten </w:t>
      </w:r>
      <w:proofErr w:type="spellStart"/>
      <w:r w:rsidRPr="009F1A2B">
        <w:t>Stapper</w:t>
      </w:r>
      <w:proofErr w:type="spellEnd"/>
      <w:r w:rsidRPr="009F1A2B">
        <w:t xml:space="preserve"> (IHER member)</w:t>
      </w:r>
    </w:p>
    <w:p w14:paraId="26B42917" w14:textId="77777777" w:rsidR="00B42588" w:rsidRPr="009F1A2B" w:rsidRDefault="00B42588" w:rsidP="009F018E">
      <w:pPr>
        <w:pStyle w:val="ListParagraph"/>
        <w:numPr>
          <w:ilvl w:val="0"/>
          <w:numId w:val="30"/>
        </w:numPr>
        <w:ind w:left="851" w:hanging="851"/>
      </w:pPr>
      <w:r w:rsidRPr="009F1A2B">
        <w:t>Geoff Davies (ANU)</w:t>
      </w:r>
    </w:p>
    <w:p w14:paraId="689917F1" w14:textId="77777777" w:rsidR="00B42588" w:rsidRPr="009F1A2B" w:rsidRDefault="00B42588" w:rsidP="009F018E">
      <w:pPr>
        <w:pStyle w:val="ListParagraph"/>
        <w:numPr>
          <w:ilvl w:val="0"/>
          <w:numId w:val="30"/>
        </w:numPr>
        <w:ind w:left="851" w:hanging="851"/>
      </w:pPr>
      <w:r w:rsidRPr="009F1A2B">
        <w:t>Tracy-Anne Jolly (OGTR)</w:t>
      </w:r>
    </w:p>
    <w:p w14:paraId="5438686B" w14:textId="77777777" w:rsidR="00B42588" w:rsidRPr="009F1A2B" w:rsidRDefault="00B42588" w:rsidP="009F018E">
      <w:pPr>
        <w:pStyle w:val="ListParagraph"/>
        <w:numPr>
          <w:ilvl w:val="0"/>
          <w:numId w:val="30"/>
        </w:numPr>
        <w:ind w:left="851" w:hanging="851"/>
      </w:pPr>
      <w:r w:rsidRPr="009F1A2B">
        <w:t>Toni Cuthbertson (OGTR)</w:t>
      </w:r>
    </w:p>
    <w:p w14:paraId="130AB1FB" w14:textId="77777777" w:rsidR="00B42588" w:rsidRPr="009F1A2B" w:rsidRDefault="00B42588" w:rsidP="009F018E">
      <w:pPr>
        <w:pStyle w:val="ListParagraph"/>
        <w:numPr>
          <w:ilvl w:val="0"/>
          <w:numId w:val="30"/>
        </w:numPr>
        <w:ind w:left="851" w:hanging="851"/>
      </w:pPr>
      <w:r w:rsidRPr="009F1A2B">
        <w:t xml:space="preserve">Al </w:t>
      </w:r>
      <w:proofErr w:type="spellStart"/>
      <w:r w:rsidRPr="009F1A2B">
        <w:t>Turello</w:t>
      </w:r>
      <w:proofErr w:type="spellEnd"/>
      <w:r w:rsidRPr="009F1A2B">
        <w:t xml:space="preserve"> (OGTR)</w:t>
      </w:r>
    </w:p>
    <w:p w14:paraId="1C5AAD3F" w14:textId="77777777" w:rsidR="00B42588" w:rsidRPr="009F1A2B" w:rsidRDefault="00B42588" w:rsidP="009F018E">
      <w:pPr>
        <w:pStyle w:val="ListParagraph"/>
        <w:numPr>
          <w:ilvl w:val="0"/>
          <w:numId w:val="30"/>
        </w:numPr>
        <w:ind w:left="851" w:hanging="851"/>
      </w:pPr>
      <w:r w:rsidRPr="009F1A2B">
        <w:t>Declan O’Connor-Cox (OGTR)</w:t>
      </w:r>
    </w:p>
    <w:p w14:paraId="5DB5132A" w14:textId="77777777" w:rsidR="00B42588" w:rsidRPr="009F1A2B" w:rsidRDefault="00B42588" w:rsidP="009F018E">
      <w:pPr>
        <w:pStyle w:val="ListParagraph"/>
        <w:numPr>
          <w:ilvl w:val="0"/>
          <w:numId w:val="30"/>
        </w:numPr>
        <w:ind w:left="851" w:hanging="851"/>
      </w:pPr>
      <w:r w:rsidRPr="009F1A2B">
        <w:t>Mick Letts</w:t>
      </w:r>
    </w:p>
    <w:p w14:paraId="06AD24D4" w14:textId="77777777" w:rsidR="00B42588" w:rsidRPr="009F1A2B" w:rsidRDefault="00B42588" w:rsidP="009F018E">
      <w:pPr>
        <w:pStyle w:val="ListParagraph"/>
        <w:numPr>
          <w:ilvl w:val="0"/>
          <w:numId w:val="30"/>
        </w:numPr>
        <w:ind w:left="851" w:hanging="851"/>
      </w:pPr>
      <w:r w:rsidRPr="009F1A2B">
        <w:t>Peter Arkle (NFF)</w:t>
      </w:r>
    </w:p>
    <w:p w14:paraId="3B6A8214" w14:textId="77777777" w:rsidR="00B42588" w:rsidRPr="009F1A2B" w:rsidRDefault="00B42588" w:rsidP="009F018E">
      <w:pPr>
        <w:pStyle w:val="ListParagraph"/>
        <w:numPr>
          <w:ilvl w:val="0"/>
          <w:numId w:val="30"/>
        </w:numPr>
        <w:ind w:left="851" w:hanging="851"/>
      </w:pPr>
      <w:r w:rsidRPr="009F1A2B">
        <w:t xml:space="preserve">Jutta </w:t>
      </w:r>
      <w:proofErr w:type="spellStart"/>
      <w:r w:rsidRPr="009F1A2B">
        <w:t>Tuerck</w:t>
      </w:r>
      <w:proofErr w:type="spellEnd"/>
    </w:p>
    <w:p w14:paraId="000D016D" w14:textId="77777777" w:rsidR="00B42588" w:rsidRPr="009F1A2B" w:rsidRDefault="00B42588" w:rsidP="009F018E">
      <w:pPr>
        <w:pStyle w:val="ListParagraph"/>
        <w:numPr>
          <w:ilvl w:val="0"/>
          <w:numId w:val="30"/>
        </w:numPr>
        <w:ind w:left="851" w:hanging="851"/>
      </w:pPr>
      <w:r w:rsidRPr="009F1A2B">
        <w:t>Ryan Wilson</w:t>
      </w:r>
    </w:p>
    <w:p w14:paraId="0DFC6301" w14:textId="77777777" w:rsidR="00B42588" w:rsidRPr="009F1A2B" w:rsidRDefault="00B42588" w:rsidP="009F018E">
      <w:pPr>
        <w:pStyle w:val="ListParagraph"/>
        <w:numPr>
          <w:ilvl w:val="0"/>
          <w:numId w:val="30"/>
        </w:numPr>
        <w:ind w:left="851" w:hanging="851"/>
      </w:pPr>
      <w:r w:rsidRPr="009F1A2B">
        <w:t>Zoltan Lukacs</w:t>
      </w:r>
    </w:p>
    <w:p w14:paraId="266EDDE1" w14:textId="77777777" w:rsidR="00B42588" w:rsidRPr="009F1A2B" w:rsidRDefault="00B42588" w:rsidP="009F018E">
      <w:pPr>
        <w:pStyle w:val="ListParagraph"/>
        <w:numPr>
          <w:ilvl w:val="0"/>
          <w:numId w:val="30"/>
        </w:numPr>
        <w:ind w:left="851" w:hanging="851"/>
      </w:pPr>
      <w:r w:rsidRPr="009F1A2B">
        <w:t>Maree McKay</w:t>
      </w:r>
    </w:p>
    <w:p w14:paraId="0642D0EF" w14:textId="77777777" w:rsidR="00B42588" w:rsidRPr="009F1A2B" w:rsidRDefault="00B42588" w:rsidP="009F018E">
      <w:pPr>
        <w:pStyle w:val="ListParagraph"/>
        <w:numPr>
          <w:ilvl w:val="0"/>
          <w:numId w:val="30"/>
        </w:numPr>
        <w:ind w:left="851" w:hanging="851"/>
      </w:pPr>
      <w:r w:rsidRPr="009F1A2B">
        <w:t>Pennie Scott</w:t>
      </w:r>
    </w:p>
    <w:p w14:paraId="4C561A12" w14:textId="77777777" w:rsidR="00B42588" w:rsidRPr="009F1A2B" w:rsidRDefault="00B42588" w:rsidP="009F018E">
      <w:pPr>
        <w:pStyle w:val="ListParagraph"/>
        <w:numPr>
          <w:ilvl w:val="0"/>
          <w:numId w:val="30"/>
        </w:numPr>
        <w:ind w:left="851" w:hanging="851"/>
      </w:pPr>
      <w:r w:rsidRPr="009F1A2B">
        <w:t>Deborah Stanley (</w:t>
      </w:r>
      <w:proofErr w:type="spellStart"/>
      <w:r w:rsidRPr="009F1A2B">
        <w:t>AusBiotech</w:t>
      </w:r>
      <w:proofErr w:type="spellEnd"/>
      <w:r w:rsidRPr="009F1A2B">
        <w:t>)</w:t>
      </w:r>
    </w:p>
    <w:p w14:paraId="1E32F5B0" w14:textId="77777777" w:rsidR="00B42588" w:rsidRPr="009F1A2B" w:rsidRDefault="00B42588" w:rsidP="009F018E">
      <w:pPr>
        <w:pStyle w:val="ListParagraph"/>
        <w:numPr>
          <w:ilvl w:val="0"/>
          <w:numId w:val="30"/>
        </w:numPr>
        <w:ind w:left="851" w:hanging="851"/>
      </w:pPr>
      <w:r w:rsidRPr="009F1A2B">
        <w:t>John Lovett (</w:t>
      </w:r>
      <w:proofErr w:type="spellStart"/>
      <w:r w:rsidRPr="009F1A2B">
        <w:t>Agrifood</w:t>
      </w:r>
      <w:proofErr w:type="spellEnd"/>
      <w:r w:rsidRPr="009F1A2B">
        <w:t xml:space="preserve"> Awareness Australian Limited)</w:t>
      </w:r>
    </w:p>
    <w:p w14:paraId="24082FEA" w14:textId="77777777" w:rsidR="00B42588" w:rsidRPr="009F1A2B" w:rsidRDefault="00B42588" w:rsidP="009F018E">
      <w:pPr>
        <w:pStyle w:val="ListParagraph"/>
        <w:numPr>
          <w:ilvl w:val="0"/>
          <w:numId w:val="30"/>
        </w:numPr>
        <w:ind w:left="851" w:hanging="851"/>
      </w:pPr>
      <w:r w:rsidRPr="009F1A2B">
        <w:t>Barry Rolfe (ANU/RSBS)</w:t>
      </w:r>
    </w:p>
    <w:p w14:paraId="6922E8B7" w14:textId="77777777" w:rsidR="00B42588" w:rsidRPr="009F1A2B" w:rsidRDefault="00B42588" w:rsidP="009F018E">
      <w:pPr>
        <w:pStyle w:val="ListParagraph"/>
        <w:numPr>
          <w:ilvl w:val="0"/>
          <w:numId w:val="30"/>
        </w:numPr>
        <w:ind w:left="851" w:hanging="851"/>
      </w:pPr>
      <w:r w:rsidRPr="009F1A2B">
        <w:t xml:space="preserve">Karen </w:t>
      </w:r>
      <w:proofErr w:type="spellStart"/>
      <w:r w:rsidRPr="009F1A2B">
        <w:t>Elsom</w:t>
      </w:r>
      <w:proofErr w:type="spellEnd"/>
      <w:r w:rsidRPr="009F1A2B">
        <w:t xml:space="preserve"> (Business ACT)</w:t>
      </w:r>
    </w:p>
    <w:p w14:paraId="7B46A3F8" w14:textId="77777777" w:rsidR="00B42588" w:rsidRPr="009F1A2B" w:rsidRDefault="00B42588" w:rsidP="009F018E">
      <w:pPr>
        <w:pStyle w:val="ListParagraph"/>
        <w:numPr>
          <w:ilvl w:val="0"/>
          <w:numId w:val="30"/>
        </w:numPr>
        <w:ind w:left="851" w:hanging="851"/>
      </w:pPr>
      <w:r w:rsidRPr="009F1A2B">
        <w:t>Steven Bailie (Australian Democrats)</w:t>
      </w:r>
    </w:p>
    <w:p w14:paraId="600D6C16" w14:textId="77777777" w:rsidR="00B42588" w:rsidRPr="009F1A2B" w:rsidRDefault="00B42588" w:rsidP="009F018E">
      <w:pPr>
        <w:pStyle w:val="ListParagraph"/>
        <w:numPr>
          <w:ilvl w:val="0"/>
          <w:numId w:val="30"/>
        </w:numPr>
        <w:ind w:left="851" w:hanging="851"/>
      </w:pPr>
      <w:r w:rsidRPr="009F1A2B">
        <w:t>Greg Ash (NHMRC)</w:t>
      </w:r>
    </w:p>
    <w:p w14:paraId="7DF85FBB" w14:textId="77777777" w:rsidR="00B42588" w:rsidRPr="009F1A2B" w:rsidRDefault="00B42588" w:rsidP="009F018E">
      <w:pPr>
        <w:pStyle w:val="ListParagraph"/>
        <w:numPr>
          <w:ilvl w:val="0"/>
          <w:numId w:val="30"/>
        </w:numPr>
        <w:ind w:left="851" w:hanging="851"/>
      </w:pPr>
      <w:r w:rsidRPr="009F1A2B">
        <w:t xml:space="preserve">Peter McInnes (Department of </w:t>
      </w:r>
      <w:proofErr w:type="spellStart"/>
      <w:r w:rsidRPr="009F1A2B">
        <w:t>Heath</w:t>
      </w:r>
      <w:proofErr w:type="spellEnd"/>
      <w:r w:rsidRPr="009F1A2B">
        <w:t xml:space="preserve"> and Ageing)</w:t>
      </w:r>
    </w:p>
    <w:p w14:paraId="3C7D7DAC" w14:textId="77777777" w:rsidR="00B42588" w:rsidRPr="009F1A2B" w:rsidRDefault="00B42588" w:rsidP="009F018E">
      <w:pPr>
        <w:pStyle w:val="ListParagraph"/>
        <w:numPr>
          <w:ilvl w:val="0"/>
          <w:numId w:val="30"/>
        </w:numPr>
        <w:ind w:left="851" w:hanging="851"/>
      </w:pPr>
      <w:r w:rsidRPr="009F1A2B">
        <w:t xml:space="preserve">Victoria Hennig (Department of </w:t>
      </w:r>
      <w:proofErr w:type="spellStart"/>
      <w:r w:rsidRPr="009F1A2B">
        <w:t>Heath</w:t>
      </w:r>
      <w:proofErr w:type="spellEnd"/>
      <w:r w:rsidRPr="009F1A2B">
        <w:t xml:space="preserve"> and Ageing)</w:t>
      </w:r>
    </w:p>
    <w:p w14:paraId="354B0953" w14:textId="77777777" w:rsidR="00B42588" w:rsidRPr="009F1A2B" w:rsidRDefault="00B42588" w:rsidP="009F018E">
      <w:pPr>
        <w:pStyle w:val="ListParagraph"/>
        <w:numPr>
          <w:ilvl w:val="0"/>
          <w:numId w:val="30"/>
        </w:numPr>
        <w:ind w:left="851" w:hanging="851"/>
      </w:pPr>
      <w:r w:rsidRPr="009F1A2B">
        <w:t>Peter Gullett (Farmer)</w:t>
      </w:r>
    </w:p>
    <w:p w14:paraId="278E260B" w14:textId="2A9914A3" w:rsidR="00B42588" w:rsidRPr="003B048E" w:rsidRDefault="00B42588" w:rsidP="009F018E">
      <w:pPr>
        <w:pStyle w:val="ListParagraph"/>
        <w:numPr>
          <w:ilvl w:val="0"/>
          <w:numId w:val="30"/>
        </w:numPr>
        <w:ind w:left="851" w:hanging="851"/>
      </w:pPr>
      <w:r w:rsidRPr="009F1A2B">
        <w:t>Jing Chung (IP Australia)</w:t>
      </w:r>
    </w:p>
    <w:p w14:paraId="13564239" w14:textId="77777777" w:rsidR="00B42588" w:rsidRPr="00B42588" w:rsidRDefault="00B42588" w:rsidP="003B048E">
      <w:pPr>
        <w:pStyle w:val="Heading3"/>
      </w:pPr>
      <w:r w:rsidRPr="00B42588">
        <w:t>Clare Valley (South Australia), Sunday, 23 October 2005</w:t>
      </w:r>
    </w:p>
    <w:p w14:paraId="38168AD8" w14:textId="77777777" w:rsidR="00B42588" w:rsidRPr="00BA4E20" w:rsidRDefault="00B42588" w:rsidP="009F018E">
      <w:pPr>
        <w:pStyle w:val="ListParagraph"/>
        <w:numPr>
          <w:ilvl w:val="0"/>
          <w:numId w:val="31"/>
        </w:numPr>
        <w:ind w:left="851" w:hanging="851"/>
      </w:pPr>
      <w:r w:rsidRPr="00BA4E20">
        <w:t>John Cornish (Department of Primary Industries)</w:t>
      </w:r>
    </w:p>
    <w:p w14:paraId="53D96180" w14:textId="77777777" w:rsidR="00B42588" w:rsidRPr="00BA4E20" w:rsidRDefault="00B42588" w:rsidP="009F018E">
      <w:pPr>
        <w:pStyle w:val="ListParagraph"/>
        <w:numPr>
          <w:ilvl w:val="0"/>
          <w:numId w:val="31"/>
        </w:numPr>
        <w:ind w:left="851" w:hanging="851"/>
      </w:pPr>
      <w:r w:rsidRPr="00BA4E20">
        <w:t>John Lush</w:t>
      </w:r>
    </w:p>
    <w:p w14:paraId="557E4DF4" w14:textId="77777777" w:rsidR="00B42588" w:rsidRPr="00BA4E20" w:rsidRDefault="00B42588" w:rsidP="009F018E">
      <w:pPr>
        <w:pStyle w:val="ListParagraph"/>
        <w:numPr>
          <w:ilvl w:val="0"/>
          <w:numId w:val="31"/>
        </w:numPr>
        <w:ind w:left="851" w:hanging="851"/>
      </w:pPr>
      <w:r w:rsidRPr="00BA4E20">
        <w:t>Robert Martin</w:t>
      </w:r>
    </w:p>
    <w:p w14:paraId="69817D67" w14:textId="77777777" w:rsidR="00B42588" w:rsidRPr="00BA4E20" w:rsidRDefault="00B42588" w:rsidP="009F018E">
      <w:pPr>
        <w:pStyle w:val="ListParagraph"/>
        <w:numPr>
          <w:ilvl w:val="0"/>
          <w:numId w:val="31"/>
        </w:numPr>
        <w:ind w:left="851" w:hanging="851"/>
      </w:pPr>
      <w:r w:rsidRPr="00BA4E20">
        <w:t>Felicity Martin</w:t>
      </w:r>
    </w:p>
    <w:p w14:paraId="27B4CA9C" w14:textId="77777777" w:rsidR="00B42588" w:rsidRPr="00BA4E20" w:rsidRDefault="00B42588" w:rsidP="009F018E">
      <w:pPr>
        <w:pStyle w:val="ListParagraph"/>
        <w:numPr>
          <w:ilvl w:val="0"/>
          <w:numId w:val="31"/>
        </w:numPr>
        <w:ind w:left="851" w:hanging="851"/>
      </w:pPr>
      <w:r w:rsidRPr="00BA4E20">
        <w:t>Bill Adams</w:t>
      </w:r>
    </w:p>
    <w:p w14:paraId="7C4018C9" w14:textId="77777777" w:rsidR="00B42588" w:rsidRPr="00B42588" w:rsidRDefault="00B42588" w:rsidP="00BA4E20">
      <w:pPr>
        <w:pStyle w:val="Heading3"/>
      </w:pPr>
      <w:r w:rsidRPr="00B42588">
        <w:lastRenderedPageBreak/>
        <w:t>Adelaide (South Australia), Monday, 24 October 2005</w:t>
      </w:r>
    </w:p>
    <w:p w14:paraId="273C64B4" w14:textId="77777777" w:rsidR="00B42588" w:rsidRPr="00BA4E20" w:rsidRDefault="00B42588" w:rsidP="009F018E">
      <w:pPr>
        <w:pStyle w:val="ListParagraph"/>
        <w:numPr>
          <w:ilvl w:val="0"/>
          <w:numId w:val="32"/>
        </w:numPr>
        <w:ind w:left="851" w:hanging="851"/>
      </w:pPr>
      <w:r w:rsidRPr="00BA4E20">
        <w:t>John Harvey (GWRDC)</w:t>
      </w:r>
    </w:p>
    <w:p w14:paraId="52F002E3" w14:textId="77777777" w:rsidR="00B42588" w:rsidRPr="00BA4E20" w:rsidRDefault="00B42588" w:rsidP="009F018E">
      <w:pPr>
        <w:pStyle w:val="ListParagraph"/>
        <w:numPr>
          <w:ilvl w:val="0"/>
          <w:numId w:val="32"/>
        </w:numPr>
        <w:ind w:left="851" w:hanging="851"/>
      </w:pPr>
      <w:r w:rsidRPr="00BA4E20">
        <w:t>Elaine Attwood (former GTCC)</w:t>
      </w:r>
    </w:p>
    <w:p w14:paraId="5CABB2D4" w14:textId="77777777" w:rsidR="00B42588" w:rsidRPr="00BA4E20" w:rsidRDefault="00B42588" w:rsidP="009F018E">
      <w:pPr>
        <w:pStyle w:val="ListParagraph"/>
        <w:numPr>
          <w:ilvl w:val="0"/>
          <w:numId w:val="32"/>
        </w:numPr>
        <w:ind w:left="851" w:hanging="851"/>
      </w:pPr>
      <w:r w:rsidRPr="00BA4E20">
        <w:t>Helen Halley</w:t>
      </w:r>
    </w:p>
    <w:p w14:paraId="41F84C3A" w14:textId="77777777" w:rsidR="00B42588" w:rsidRPr="00BA4E20" w:rsidRDefault="00B42588" w:rsidP="009F018E">
      <w:pPr>
        <w:pStyle w:val="ListParagraph"/>
        <w:numPr>
          <w:ilvl w:val="0"/>
          <w:numId w:val="32"/>
        </w:numPr>
        <w:ind w:left="851" w:hanging="851"/>
      </w:pPr>
      <w:r w:rsidRPr="00BA4E20">
        <w:t>Diana Palmer (Genetic Ethics)</w:t>
      </w:r>
    </w:p>
    <w:p w14:paraId="6D912569" w14:textId="77777777" w:rsidR="00B42588" w:rsidRPr="00BA4E20" w:rsidRDefault="00B42588" w:rsidP="009F018E">
      <w:pPr>
        <w:pStyle w:val="ListParagraph"/>
        <w:numPr>
          <w:ilvl w:val="0"/>
          <w:numId w:val="32"/>
        </w:numPr>
        <w:ind w:left="851" w:hanging="851"/>
      </w:pPr>
      <w:r w:rsidRPr="00BA4E20">
        <w:t>Anne Collins</w:t>
      </w:r>
    </w:p>
    <w:p w14:paraId="74550CE6" w14:textId="77777777" w:rsidR="00B42588" w:rsidRPr="00BA4E20" w:rsidRDefault="00B42588" w:rsidP="009F018E">
      <w:pPr>
        <w:pStyle w:val="ListParagraph"/>
        <w:numPr>
          <w:ilvl w:val="0"/>
          <w:numId w:val="32"/>
        </w:numPr>
        <w:ind w:left="851" w:hanging="851"/>
      </w:pPr>
      <w:r w:rsidRPr="00BA4E20">
        <w:t>Rosemary Ryall (Flinders IBC)</w:t>
      </w:r>
    </w:p>
    <w:p w14:paraId="7DDCD926" w14:textId="77777777" w:rsidR="00B42588" w:rsidRPr="00BA4E20" w:rsidRDefault="00B42588" w:rsidP="009F018E">
      <w:pPr>
        <w:pStyle w:val="ListParagraph"/>
        <w:numPr>
          <w:ilvl w:val="0"/>
          <w:numId w:val="32"/>
        </w:numPr>
        <w:ind w:left="851" w:hanging="851"/>
      </w:pPr>
      <w:r w:rsidRPr="00BA4E20">
        <w:t>Hilary Little (Greenpeace)</w:t>
      </w:r>
    </w:p>
    <w:p w14:paraId="1C8381EA" w14:textId="77777777" w:rsidR="00B42588" w:rsidRPr="00BA4E20" w:rsidRDefault="00B42588" w:rsidP="009F018E">
      <w:pPr>
        <w:pStyle w:val="ListParagraph"/>
        <w:numPr>
          <w:ilvl w:val="0"/>
          <w:numId w:val="32"/>
        </w:numPr>
        <w:ind w:left="851" w:hanging="851"/>
      </w:pPr>
      <w:r w:rsidRPr="00BA4E20">
        <w:t xml:space="preserve">Jan </w:t>
      </w:r>
      <w:proofErr w:type="spellStart"/>
      <w:r w:rsidRPr="00BA4E20">
        <w:t>Nield</w:t>
      </w:r>
      <w:proofErr w:type="spellEnd"/>
      <w:r w:rsidRPr="00BA4E20">
        <w:t xml:space="preserve"> (University of Adelaide)</w:t>
      </w:r>
    </w:p>
    <w:p w14:paraId="7C1BB244" w14:textId="77777777" w:rsidR="00B42588" w:rsidRPr="00BA4E20" w:rsidRDefault="00B42588" w:rsidP="009F018E">
      <w:pPr>
        <w:pStyle w:val="ListParagraph"/>
        <w:numPr>
          <w:ilvl w:val="0"/>
          <w:numId w:val="32"/>
        </w:numPr>
        <w:ind w:left="851" w:hanging="851"/>
      </w:pPr>
      <w:r w:rsidRPr="00BA4E20">
        <w:t xml:space="preserve">Stephanie </w:t>
      </w:r>
      <w:proofErr w:type="spellStart"/>
      <w:r w:rsidRPr="00BA4E20">
        <w:t>Agius</w:t>
      </w:r>
      <w:proofErr w:type="spellEnd"/>
    </w:p>
    <w:p w14:paraId="4D92C6C0" w14:textId="77777777" w:rsidR="00B42588" w:rsidRPr="00BA4E20" w:rsidRDefault="00B42588" w:rsidP="009F018E">
      <w:pPr>
        <w:pStyle w:val="ListParagraph"/>
        <w:numPr>
          <w:ilvl w:val="0"/>
          <w:numId w:val="32"/>
        </w:numPr>
        <w:ind w:left="851" w:hanging="851"/>
      </w:pPr>
      <w:r w:rsidRPr="00BA4E20">
        <w:t>Tony Moore (ACA)</w:t>
      </w:r>
    </w:p>
    <w:p w14:paraId="12DF8AE5" w14:textId="77777777" w:rsidR="00B42588" w:rsidRPr="00BA4E20" w:rsidRDefault="00B42588" w:rsidP="009F018E">
      <w:pPr>
        <w:pStyle w:val="ListParagraph"/>
        <w:numPr>
          <w:ilvl w:val="0"/>
          <w:numId w:val="32"/>
        </w:numPr>
        <w:ind w:left="851" w:hanging="851"/>
      </w:pPr>
      <w:r w:rsidRPr="00BA4E20">
        <w:t>Paula Nixon (SA Genetic Food Information Network)</w:t>
      </w:r>
    </w:p>
    <w:p w14:paraId="24E0302F" w14:textId="77777777" w:rsidR="00B42588" w:rsidRPr="00BA4E20" w:rsidRDefault="00B42588" w:rsidP="009F018E">
      <w:pPr>
        <w:pStyle w:val="ListParagraph"/>
        <w:numPr>
          <w:ilvl w:val="0"/>
          <w:numId w:val="32"/>
        </w:numPr>
        <w:ind w:left="851" w:hanging="851"/>
      </w:pPr>
      <w:r w:rsidRPr="00BA4E20">
        <w:t xml:space="preserve">Lesley </w:t>
      </w:r>
      <w:proofErr w:type="spellStart"/>
      <w:r w:rsidRPr="00BA4E20">
        <w:t>Wyndram</w:t>
      </w:r>
      <w:proofErr w:type="spellEnd"/>
    </w:p>
    <w:p w14:paraId="2BE2B040" w14:textId="77777777" w:rsidR="00B42588" w:rsidRPr="00B42588" w:rsidRDefault="00B42588" w:rsidP="00BA4E20">
      <w:pPr>
        <w:pStyle w:val="Heading3"/>
      </w:pPr>
      <w:r w:rsidRPr="00B42588">
        <w:t>Perth (Western Australia), Wednesday, 26 October 2005</w:t>
      </w:r>
    </w:p>
    <w:p w14:paraId="678D852A" w14:textId="77777777" w:rsidR="00B42588" w:rsidRPr="00BA4E20" w:rsidRDefault="00B42588" w:rsidP="009F018E">
      <w:pPr>
        <w:pStyle w:val="ListParagraph"/>
        <w:numPr>
          <w:ilvl w:val="0"/>
          <w:numId w:val="33"/>
        </w:numPr>
        <w:ind w:left="851" w:hanging="851"/>
      </w:pPr>
      <w:r w:rsidRPr="00BA4E20">
        <w:t>Anne Healey (Consumers Association of WA)</w:t>
      </w:r>
    </w:p>
    <w:p w14:paraId="3B3A866F" w14:textId="77777777" w:rsidR="00B42588" w:rsidRPr="00BA4E20" w:rsidRDefault="00B42588" w:rsidP="009F018E">
      <w:pPr>
        <w:pStyle w:val="ListParagraph"/>
        <w:numPr>
          <w:ilvl w:val="0"/>
          <w:numId w:val="33"/>
        </w:numPr>
        <w:ind w:left="851" w:hanging="851"/>
      </w:pPr>
      <w:r w:rsidRPr="00BA4E20">
        <w:t>Jeffrey Harwood (Murdoch University)</w:t>
      </w:r>
    </w:p>
    <w:p w14:paraId="4F44128F" w14:textId="77777777" w:rsidR="00B42588" w:rsidRPr="00BA4E20" w:rsidRDefault="00B42588" w:rsidP="009F018E">
      <w:pPr>
        <w:pStyle w:val="ListParagraph"/>
        <w:numPr>
          <w:ilvl w:val="0"/>
          <w:numId w:val="33"/>
        </w:numPr>
        <w:ind w:left="851" w:hanging="851"/>
      </w:pPr>
      <w:r w:rsidRPr="00BA4E20">
        <w:t xml:space="preserve">David </w:t>
      </w:r>
      <w:proofErr w:type="spellStart"/>
      <w:r w:rsidRPr="00BA4E20">
        <w:t>Groth</w:t>
      </w:r>
      <w:proofErr w:type="spellEnd"/>
      <w:r w:rsidRPr="00BA4E20">
        <w:t xml:space="preserve"> (Curtin University)</w:t>
      </w:r>
    </w:p>
    <w:p w14:paraId="0188E7AC" w14:textId="77777777" w:rsidR="00B42588" w:rsidRPr="00BA4E20" w:rsidRDefault="00B42588" w:rsidP="009F018E">
      <w:pPr>
        <w:pStyle w:val="ListParagraph"/>
        <w:numPr>
          <w:ilvl w:val="0"/>
          <w:numId w:val="33"/>
        </w:numPr>
        <w:ind w:left="851" w:hanging="851"/>
      </w:pPr>
      <w:r w:rsidRPr="00BA4E20">
        <w:t>Selwyn Snell (Single Vision Grain Australia)</w:t>
      </w:r>
    </w:p>
    <w:p w14:paraId="7C2C5E4A" w14:textId="77777777" w:rsidR="00357341" w:rsidRPr="00BA4E20" w:rsidRDefault="00357341" w:rsidP="009F018E">
      <w:pPr>
        <w:pStyle w:val="ListParagraph"/>
        <w:numPr>
          <w:ilvl w:val="0"/>
          <w:numId w:val="33"/>
        </w:numPr>
        <w:ind w:left="851" w:hanging="851"/>
      </w:pPr>
      <w:r w:rsidRPr="00BA4E20">
        <w:t>Julie Newman (Network of Concerned Farmers)</w:t>
      </w:r>
    </w:p>
    <w:p w14:paraId="4D2A2E8D" w14:textId="77777777" w:rsidR="00357341" w:rsidRPr="00BA4E20" w:rsidRDefault="00357341" w:rsidP="009F018E">
      <w:pPr>
        <w:pStyle w:val="ListParagraph"/>
        <w:numPr>
          <w:ilvl w:val="0"/>
          <w:numId w:val="33"/>
        </w:numPr>
        <w:ind w:left="851" w:hanging="851"/>
      </w:pPr>
      <w:r w:rsidRPr="00BA4E20">
        <w:t>Brenda Moore</w:t>
      </w:r>
    </w:p>
    <w:p w14:paraId="6648AB5D" w14:textId="77777777" w:rsidR="00357341" w:rsidRPr="00BA4E20" w:rsidRDefault="00357341" w:rsidP="009F018E">
      <w:pPr>
        <w:pStyle w:val="ListParagraph"/>
        <w:numPr>
          <w:ilvl w:val="0"/>
          <w:numId w:val="33"/>
        </w:numPr>
        <w:ind w:left="851" w:hanging="851"/>
      </w:pPr>
      <w:r w:rsidRPr="00BA4E20">
        <w:t>Stuart Moore</w:t>
      </w:r>
    </w:p>
    <w:p w14:paraId="0CE30E51" w14:textId="77777777" w:rsidR="00357341" w:rsidRPr="00BA4E20" w:rsidRDefault="00357341" w:rsidP="009F018E">
      <w:pPr>
        <w:pStyle w:val="ListParagraph"/>
        <w:numPr>
          <w:ilvl w:val="0"/>
          <w:numId w:val="33"/>
        </w:numPr>
        <w:ind w:left="851" w:hanging="851"/>
      </w:pPr>
      <w:r w:rsidRPr="00BA4E20">
        <w:t>Elizabeth Rowell</w:t>
      </w:r>
    </w:p>
    <w:p w14:paraId="7DA8F2BE" w14:textId="77777777" w:rsidR="00357341" w:rsidRPr="00BA4E20" w:rsidRDefault="00357341" w:rsidP="009F018E">
      <w:pPr>
        <w:pStyle w:val="ListParagraph"/>
        <w:numPr>
          <w:ilvl w:val="0"/>
          <w:numId w:val="33"/>
        </w:numPr>
        <w:ind w:left="851" w:hanging="851"/>
      </w:pPr>
      <w:r w:rsidRPr="00BA4E20">
        <w:t xml:space="preserve">Yuki </w:t>
      </w:r>
      <w:proofErr w:type="spellStart"/>
      <w:r w:rsidRPr="00BA4E20">
        <w:t>Ghantous</w:t>
      </w:r>
      <w:proofErr w:type="spellEnd"/>
      <w:r w:rsidRPr="00BA4E20">
        <w:t xml:space="preserve"> (</w:t>
      </w:r>
      <w:proofErr w:type="spellStart"/>
      <w:r w:rsidRPr="00BA4E20">
        <w:t>Ghantous</w:t>
      </w:r>
      <w:proofErr w:type="spellEnd"/>
      <w:r w:rsidRPr="00BA4E20">
        <w:t xml:space="preserve"> Group)</w:t>
      </w:r>
    </w:p>
    <w:p w14:paraId="55756180" w14:textId="77777777" w:rsidR="00357341" w:rsidRPr="00BA4E20" w:rsidRDefault="00357341" w:rsidP="009F018E">
      <w:pPr>
        <w:pStyle w:val="ListParagraph"/>
        <w:numPr>
          <w:ilvl w:val="0"/>
          <w:numId w:val="33"/>
        </w:numPr>
        <w:ind w:left="851" w:hanging="851"/>
      </w:pPr>
      <w:r w:rsidRPr="00BA4E20">
        <w:t>Andy McMillan (WA Farmers)</w:t>
      </w:r>
    </w:p>
    <w:p w14:paraId="132A5CB8" w14:textId="77777777" w:rsidR="00357341" w:rsidRPr="00BA4E20" w:rsidRDefault="00357341" w:rsidP="009F018E">
      <w:pPr>
        <w:pStyle w:val="ListParagraph"/>
        <w:numPr>
          <w:ilvl w:val="0"/>
          <w:numId w:val="33"/>
        </w:numPr>
        <w:ind w:left="851" w:hanging="851"/>
      </w:pPr>
      <w:r w:rsidRPr="00BA4E20">
        <w:t>Ian Edwards (</w:t>
      </w:r>
      <w:proofErr w:type="spellStart"/>
      <w:r w:rsidRPr="00BA4E20">
        <w:t>AusBiotech</w:t>
      </w:r>
      <w:proofErr w:type="spellEnd"/>
      <w:r w:rsidRPr="00BA4E20">
        <w:t>)</w:t>
      </w:r>
    </w:p>
    <w:p w14:paraId="5B33C3ED" w14:textId="77777777" w:rsidR="00357341" w:rsidRPr="00BA4E20" w:rsidRDefault="00357341" w:rsidP="009F018E">
      <w:pPr>
        <w:pStyle w:val="ListParagraph"/>
        <w:numPr>
          <w:ilvl w:val="0"/>
          <w:numId w:val="33"/>
        </w:numPr>
        <w:ind w:left="851" w:hanging="851"/>
      </w:pPr>
      <w:r w:rsidRPr="00BA4E20">
        <w:t>Rhys Ainsworth (CBH Group)</w:t>
      </w:r>
    </w:p>
    <w:p w14:paraId="6BF04711" w14:textId="77777777" w:rsidR="00357341" w:rsidRPr="00BA4E20" w:rsidRDefault="00357341" w:rsidP="009F018E">
      <w:pPr>
        <w:pStyle w:val="ListParagraph"/>
        <w:numPr>
          <w:ilvl w:val="0"/>
          <w:numId w:val="33"/>
        </w:numPr>
        <w:ind w:left="851" w:hanging="851"/>
      </w:pPr>
      <w:r w:rsidRPr="00BA4E20">
        <w:t xml:space="preserve">Sylvia </w:t>
      </w:r>
      <w:proofErr w:type="spellStart"/>
      <w:r w:rsidRPr="00BA4E20">
        <w:t>Lachberg</w:t>
      </w:r>
      <w:proofErr w:type="spellEnd"/>
      <w:r w:rsidRPr="00BA4E20">
        <w:t xml:space="preserve"> (UWA)</w:t>
      </w:r>
    </w:p>
    <w:p w14:paraId="7BE34D8F" w14:textId="77777777" w:rsidR="00357341" w:rsidRPr="00BA4E20" w:rsidRDefault="00357341" w:rsidP="009F018E">
      <w:pPr>
        <w:pStyle w:val="ListParagraph"/>
        <w:numPr>
          <w:ilvl w:val="0"/>
          <w:numId w:val="33"/>
        </w:numPr>
        <w:ind w:left="851" w:hanging="851"/>
      </w:pPr>
      <w:r w:rsidRPr="00BA4E20">
        <w:t xml:space="preserve">Scott </w:t>
      </w:r>
      <w:proofErr w:type="spellStart"/>
      <w:r w:rsidRPr="00BA4E20">
        <w:t>Lundlum</w:t>
      </w:r>
      <w:proofErr w:type="spellEnd"/>
      <w:r w:rsidRPr="00BA4E20">
        <w:t xml:space="preserve"> (WA Greens)</w:t>
      </w:r>
    </w:p>
    <w:p w14:paraId="5A2366DA" w14:textId="77777777" w:rsidR="00357341" w:rsidRPr="00BA4E20" w:rsidRDefault="00357341" w:rsidP="009F018E">
      <w:pPr>
        <w:pStyle w:val="ListParagraph"/>
        <w:numPr>
          <w:ilvl w:val="0"/>
          <w:numId w:val="33"/>
        </w:numPr>
        <w:ind w:left="851" w:hanging="851"/>
      </w:pPr>
      <w:r w:rsidRPr="00BA4E20">
        <w:t xml:space="preserve">Chris </w:t>
      </w:r>
      <w:proofErr w:type="spellStart"/>
      <w:r w:rsidRPr="00BA4E20">
        <w:t>Florides</w:t>
      </w:r>
      <w:proofErr w:type="spellEnd"/>
      <w:r w:rsidRPr="00BA4E20">
        <w:t xml:space="preserve"> (Saturn Biotech)</w:t>
      </w:r>
    </w:p>
    <w:p w14:paraId="1B2D956F" w14:textId="77777777" w:rsidR="00357341" w:rsidRPr="00BA4E20" w:rsidRDefault="00357341" w:rsidP="009F018E">
      <w:pPr>
        <w:pStyle w:val="ListParagraph"/>
        <w:numPr>
          <w:ilvl w:val="0"/>
          <w:numId w:val="33"/>
        </w:numPr>
        <w:ind w:left="851" w:hanging="851"/>
      </w:pPr>
      <w:r w:rsidRPr="00BA4E20">
        <w:t>Mike Jones (Murdoch University)</w:t>
      </w:r>
    </w:p>
    <w:p w14:paraId="3ECA8DCE" w14:textId="77777777" w:rsidR="00357341" w:rsidRPr="00BA4E20" w:rsidRDefault="00357341" w:rsidP="009F018E">
      <w:pPr>
        <w:pStyle w:val="ListParagraph"/>
        <w:numPr>
          <w:ilvl w:val="0"/>
          <w:numId w:val="33"/>
        </w:numPr>
        <w:ind w:left="851" w:hanging="851"/>
      </w:pPr>
      <w:r w:rsidRPr="00BA4E20">
        <w:t>Vanessa Error</w:t>
      </w:r>
    </w:p>
    <w:p w14:paraId="7BAEE070" w14:textId="77777777" w:rsidR="00357341" w:rsidRPr="00BA4E20" w:rsidRDefault="00357341" w:rsidP="009F018E">
      <w:pPr>
        <w:pStyle w:val="ListParagraph"/>
        <w:numPr>
          <w:ilvl w:val="0"/>
          <w:numId w:val="33"/>
        </w:numPr>
        <w:ind w:left="851" w:hanging="851"/>
      </w:pPr>
      <w:r w:rsidRPr="00BA4E20">
        <w:t>Janet Grogan</w:t>
      </w:r>
    </w:p>
    <w:p w14:paraId="7EE52943" w14:textId="77777777" w:rsidR="00357341" w:rsidRPr="00BA4E20" w:rsidRDefault="00357341" w:rsidP="009F018E">
      <w:pPr>
        <w:pStyle w:val="ListParagraph"/>
        <w:numPr>
          <w:ilvl w:val="0"/>
          <w:numId w:val="33"/>
        </w:numPr>
        <w:ind w:left="851" w:hanging="851"/>
      </w:pPr>
      <w:r w:rsidRPr="00BA4E20">
        <w:t>Lea Walsh</w:t>
      </w:r>
    </w:p>
    <w:p w14:paraId="386CE3DB" w14:textId="77777777" w:rsidR="00357341" w:rsidRPr="00BA4E20" w:rsidRDefault="00357341" w:rsidP="009F018E">
      <w:pPr>
        <w:pStyle w:val="ListParagraph"/>
        <w:numPr>
          <w:ilvl w:val="0"/>
          <w:numId w:val="33"/>
        </w:numPr>
        <w:ind w:left="851" w:hanging="851"/>
      </w:pPr>
      <w:r w:rsidRPr="00BA4E20">
        <w:t>Eddie Noonan</w:t>
      </w:r>
    </w:p>
    <w:p w14:paraId="446E0D6B" w14:textId="77777777" w:rsidR="00357341" w:rsidRPr="00BA4E20" w:rsidRDefault="00357341" w:rsidP="009F018E">
      <w:pPr>
        <w:pStyle w:val="ListParagraph"/>
        <w:numPr>
          <w:ilvl w:val="0"/>
          <w:numId w:val="33"/>
        </w:numPr>
        <w:ind w:left="851" w:hanging="851"/>
      </w:pPr>
      <w:r w:rsidRPr="00BA4E20">
        <w:t xml:space="preserve">Annemarie </w:t>
      </w:r>
      <w:proofErr w:type="spellStart"/>
      <w:r w:rsidRPr="00BA4E20">
        <w:t>Hindnijer</w:t>
      </w:r>
      <w:proofErr w:type="spellEnd"/>
    </w:p>
    <w:p w14:paraId="4D0598F0" w14:textId="77777777" w:rsidR="00357341" w:rsidRPr="00BA4E20" w:rsidRDefault="00357341" w:rsidP="009F018E">
      <w:pPr>
        <w:pStyle w:val="ListParagraph"/>
        <w:numPr>
          <w:ilvl w:val="0"/>
          <w:numId w:val="33"/>
        </w:numPr>
        <w:ind w:left="851" w:hanging="851"/>
      </w:pPr>
      <w:r w:rsidRPr="00BA4E20">
        <w:t>Steven Cross</w:t>
      </w:r>
    </w:p>
    <w:p w14:paraId="6AC90B92" w14:textId="77777777" w:rsidR="00357341" w:rsidRPr="00BA4E20" w:rsidRDefault="00357341" w:rsidP="009F018E">
      <w:pPr>
        <w:pStyle w:val="ListParagraph"/>
        <w:numPr>
          <w:ilvl w:val="0"/>
          <w:numId w:val="33"/>
        </w:numPr>
        <w:ind w:left="851" w:hanging="851"/>
      </w:pPr>
      <w:r w:rsidRPr="00BA4E20">
        <w:t>Sue Sutherland</w:t>
      </w:r>
    </w:p>
    <w:p w14:paraId="1DE9DEA8" w14:textId="77777777" w:rsidR="00E332D7" w:rsidRPr="00E332D7" w:rsidRDefault="00E332D7" w:rsidP="00215B9E">
      <w:pPr>
        <w:pStyle w:val="Heading3"/>
      </w:pPr>
      <w:r w:rsidRPr="00E332D7">
        <w:t>Brisbane (Queensland), Tuesday, 1 November 2005</w:t>
      </w:r>
    </w:p>
    <w:p w14:paraId="300F87A2" w14:textId="77777777" w:rsidR="00E332D7" w:rsidRPr="00215B9E" w:rsidRDefault="00E332D7" w:rsidP="009F018E">
      <w:pPr>
        <w:pStyle w:val="ListParagraph"/>
        <w:numPr>
          <w:ilvl w:val="0"/>
          <w:numId w:val="34"/>
        </w:numPr>
        <w:ind w:left="851" w:hanging="851"/>
      </w:pPr>
      <w:r w:rsidRPr="00215B9E">
        <w:t xml:space="preserve">Ann </w:t>
      </w:r>
      <w:proofErr w:type="spellStart"/>
      <w:r w:rsidRPr="00215B9E">
        <w:t>Trezise</w:t>
      </w:r>
      <w:proofErr w:type="spellEnd"/>
    </w:p>
    <w:p w14:paraId="5ED318F5" w14:textId="77777777" w:rsidR="00E332D7" w:rsidRPr="00215B9E" w:rsidRDefault="00E332D7" w:rsidP="009F018E">
      <w:pPr>
        <w:pStyle w:val="ListParagraph"/>
        <w:numPr>
          <w:ilvl w:val="0"/>
          <w:numId w:val="34"/>
        </w:numPr>
        <w:ind w:left="851" w:hanging="851"/>
      </w:pPr>
      <w:r w:rsidRPr="00215B9E">
        <w:t>Regis M Dunne</w:t>
      </w:r>
    </w:p>
    <w:p w14:paraId="6371574D" w14:textId="77777777" w:rsidR="00E332D7" w:rsidRPr="00215B9E" w:rsidRDefault="00E332D7" w:rsidP="009F018E">
      <w:pPr>
        <w:pStyle w:val="ListParagraph"/>
        <w:numPr>
          <w:ilvl w:val="0"/>
          <w:numId w:val="34"/>
        </w:numPr>
        <w:ind w:left="851" w:hanging="851"/>
      </w:pPr>
      <w:r w:rsidRPr="00215B9E">
        <w:t>Philip Hudson</w:t>
      </w:r>
    </w:p>
    <w:p w14:paraId="0E2F1F2F" w14:textId="77777777" w:rsidR="00E332D7" w:rsidRPr="00215B9E" w:rsidRDefault="00E332D7" w:rsidP="009F018E">
      <w:pPr>
        <w:pStyle w:val="ListParagraph"/>
        <w:numPr>
          <w:ilvl w:val="0"/>
          <w:numId w:val="34"/>
        </w:numPr>
        <w:ind w:left="851" w:hanging="851"/>
      </w:pPr>
      <w:r w:rsidRPr="00215B9E">
        <w:t>Scott Hamilton</w:t>
      </w:r>
    </w:p>
    <w:p w14:paraId="40CC0B5E" w14:textId="77777777" w:rsidR="00E332D7" w:rsidRPr="00215B9E" w:rsidRDefault="00E332D7" w:rsidP="009F018E">
      <w:pPr>
        <w:pStyle w:val="ListParagraph"/>
        <w:numPr>
          <w:ilvl w:val="0"/>
          <w:numId w:val="34"/>
        </w:numPr>
        <w:ind w:left="851" w:hanging="851"/>
      </w:pPr>
      <w:r w:rsidRPr="00215B9E">
        <w:t>Hayley Brotherton</w:t>
      </w:r>
    </w:p>
    <w:p w14:paraId="6EDCDEF3" w14:textId="77777777" w:rsidR="00E332D7" w:rsidRPr="00215B9E" w:rsidRDefault="00E332D7" w:rsidP="009F018E">
      <w:pPr>
        <w:pStyle w:val="ListParagraph"/>
        <w:numPr>
          <w:ilvl w:val="0"/>
          <w:numId w:val="34"/>
        </w:numPr>
        <w:ind w:left="851" w:hanging="851"/>
      </w:pPr>
      <w:r w:rsidRPr="00215B9E">
        <w:t>Susan Goddard</w:t>
      </w:r>
    </w:p>
    <w:p w14:paraId="2A620D42" w14:textId="77777777" w:rsidR="00E332D7" w:rsidRPr="00215B9E" w:rsidRDefault="00E332D7" w:rsidP="009F018E">
      <w:pPr>
        <w:pStyle w:val="ListParagraph"/>
        <w:numPr>
          <w:ilvl w:val="0"/>
          <w:numId w:val="34"/>
        </w:numPr>
        <w:ind w:left="851" w:hanging="851"/>
      </w:pPr>
      <w:r w:rsidRPr="00215B9E">
        <w:t>G. Smith</w:t>
      </w:r>
    </w:p>
    <w:p w14:paraId="0EA375EB" w14:textId="77777777" w:rsidR="00E332D7" w:rsidRPr="00215B9E" w:rsidRDefault="00E332D7" w:rsidP="009F018E">
      <w:pPr>
        <w:pStyle w:val="ListParagraph"/>
        <w:numPr>
          <w:ilvl w:val="0"/>
          <w:numId w:val="34"/>
        </w:numPr>
        <w:ind w:left="851" w:hanging="851"/>
      </w:pPr>
      <w:r w:rsidRPr="00215B9E">
        <w:t>L. Smythe</w:t>
      </w:r>
    </w:p>
    <w:p w14:paraId="2FEF8327" w14:textId="77777777" w:rsidR="00E332D7" w:rsidRPr="00215B9E" w:rsidRDefault="00E332D7" w:rsidP="009F018E">
      <w:pPr>
        <w:pStyle w:val="ListParagraph"/>
        <w:numPr>
          <w:ilvl w:val="0"/>
          <w:numId w:val="34"/>
        </w:numPr>
        <w:ind w:left="851" w:hanging="851"/>
      </w:pPr>
      <w:r w:rsidRPr="00215B9E">
        <w:lastRenderedPageBreak/>
        <w:t>Peter Leeton</w:t>
      </w:r>
    </w:p>
    <w:p w14:paraId="12872D49" w14:textId="77777777" w:rsidR="00E332D7" w:rsidRPr="00215B9E" w:rsidRDefault="00E332D7" w:rsidP="009F018E">
      <w:pPr>
        <w:pStyle w:val="ListParagraph"/>
        <w:numPr>
          <w:ilvl w:val="0"/>
          <w:numId w:val="34"/>
        </w:numPr>
        <w:ind w:left="851" w:hanging="851"/>
      </w:pPr>
      <w:r w:rsidRPr="00215B9E">
        <w:t>Suzanne Morris</w:t>
      </w:r>
    </w:p>
    <w:p w14:paraId="66E1133F" w14:textId="77777777" w:rsidR="00E332D7" w:rsidRPr="00215B9E" w:rsidRDefault="00E332D7" w:rsidP="009F018E">
      <w:pPr>
        <w:pStyle w:val="ListParagraph"/>
        <w:numPr>
          <w:ilvl w:val="0"/>
          <w:numId w:val="34"/>
        </w:numPr>
        <w:ind w:left="851" w:hanging="851"/>
      </w:pPr>
      <w:r w:rsidRPr="00215B9E">
        <w:t>Donald MacFarlane</w:t>
      </w:r>
    </w:p>
    <w:p w14:paraId="63AC4DE6" w14:textId="77777777" w:rsidR="00E332D7" w:rsidRPr="00215B9E" w:rsidRDefault="00E332D7" w:rsidP="009F018E">
      <w:pPr>
        <w:pStyle w:val="ListParagraph"/>
        <w:numPr>
          <w:ilvl w:val="0"/>
          <w:numId w:val="34"/>
        </w:numPr>
        <w:ind w:left="851" w:hanging="851"/>
      </w:pPr>
      <w:r w:rsidRPr="00215B9E">
        <w:t>Jean Fleming</w:t>
      </w:r>
    </w:p>
    <w:p w14:paraId="64354D9D" w14:textId="77777777" w:rsidR="00E332D7" w:rsidRPr="00215B9E" w:rsidRDefault="00E332D7" w:rsidP="009F018E">
      <w:pPr>
        <w:pStyle w:val="ListParagraph"/>
        <w:numPr>
          <w:ilvl w:val="0"/>
          <w:numId w:val="34"/>
        </w:numPr>
        <w:ind w:left="851" w:hanging="851"/>
      </w:pPr>
      <w:r w:rsidRPr="00215B9E">
        <w:t>Georgia Hamilton</w:t>
      </w:r>
    </w:p>
    <w:p w14:paraId="6BEF70CD" w14:textId="77777777" w:rsidR="00E332D7" w:rsidRPr="00215B9E" w:rsidRDefault="00E332D7" w:rsidP="009F018E">
      <w:pPr>
        <w:pStyle w:val="ListParagraph"/>
        <w:numPr>
          <w:ilvl w:val="0"/>
          <w:numId w:val="34"/>
        </w:numPr>
        <w:ind w:left="851" w:hanging="851"/>
      </w:pPr>
      <w:proofErr w:type="spellStart"/>
      <w:r w:rsidRPr="00215B9E">
        <w:t>Higia</w:t>
      </w:r>
      <w:proofErr w:type="spellEnd"/>
      <w:r w:rsidRPr="00215B9E">
        <w:t xml:space="preserve"> </w:t>
      </w:r>
      <w:proofErr w:type="spellStart"/>
      <w:r w:rsidRPr="00215B9E">
        <w:t>Romanch</w:t>
      </w:r>
      <w:proofErr w:type="spellEnd"/>
    </w:p>
    <w:p w14:paraId="5BC75079" w14:textId="77777777" w:rsidR="00E332D7" w:rsidRPr="00215B9E" w:rsidRDefault="00E332D7" w:rsidP="009F018E">
      <w:pPr>
        <w:pStyle w:val="ListParagraph"/>
        <w:numPr>
          <w:ilvl w:val="0"/>
          <w:numId w:val="34"/>
        </w:numPr>
        <w:ind w:left="851" w:hanging="851"/>
      </w:pPr>
      <w:r w:rsidRPr="00215B9E">
        <w:t>John Bates</w:t>
      </w:r>
    </w:p>
    <w:p w14:paraId="0867104C" w14:textId="77777777" w:rsidR="00E332D7" w:rsidRPr="00215B9E" w:rsidRDefault="00E332D7" w:rsidP="009F018E">
      <w:pPr>
        <w:pStyle w:val="ListParagraph"/>
        <w:numPr>
          <w:ilvl w:val="0"/>
          <w:numId w:val="34"/>
        </w:numPr>
        <w:ind w:left="851" w:hanging="851"/>
      </w:pPr>
      <w:r w:rsidRPr="00215B9E">
        <w:t>Ben Huang</w:t>
      </w:r>
    </w:p>
    <w:p w14:paraId="74E8DB05" w14:textId="77777777" w:rsidR="00E332D7" w:rsidRPr="00215B9E" w:rsidRDefault="00E332D7" w:rsidP="009F018E">
      <w:pPr>
        <w:pStyle w:val="ListParagraph"/>
        <w:numPr>
          <w:ilvl w:val="0"/>
          <w:numId w:val="34"/>
        </w:numPr>
        <w:ind w:left="851" w:hanging="851"/>
      </w:pPr>
      <w:r w:rsidRPr="00215B9E">
        <w:t xml:space="preserve">Charles Lawson </w:t>
      </w:r>
    </w:p>
    <w:p w14:paraId="24273D7D" w14:textId="77777777" w:rsidR="00E332D7" w:rsidRPr="00215B9E" w:rsidRDefault="00E332D7" w:rsidP="009F018E">
      <w:pPr>
        <w:pStyle w:val="ListParagraph"/>
        <w:numPr>
          <w:ilvl w:val="0"/>
          <w:numId w:val="34"/>
        </w:numPr>
        <w:ind w:left="851" w:hanging="851"/>
      </w:pPr>
      <w:r w:rsidRPr="00215B9E">
        <w:t xml:space="preserve">Stephen </w:t>
      </w:r>
      <w:proofErr w:type="spellStart"/>
      <w:r w:rsidRPr="00215B9E">
        <w:t>Hubicki</w:t>
      </w:r>
      <w:proofErr w:type="spellEnd"/>
      <w:r w:rsidRPr="00215B9E">
        <w:t xml:space="preserve"> (ACIPA)</w:t>
      </w:r>
    </w:p>
    <w:p w14:paraId="106EA2D4" w14:textId="77777777" w:rsidR="00E332D7" w:rsidRPr="00215B9E" w:rsidRDefault="00E332D7" w:rsidP="009F018E">
      <w:pPr>
        <w:pStyle w:val="ListParagraph"/>
        <w:numPr>
          <w:ilvl w:val="0"/>
          <w:numId w:val="34"/>
        </w:numPr>
        <w:ind w:left="851" w:hanging="851"/>
      </w:pPr>
      <w:r w:rsidRPr="00215B9E">
        <w:t>Andrew Perkins</w:t>
      </w:r>
    </w:p>
    <w:p w14:paraId="7F695E40" w14:textId="77777777" w:rsidR="00E332D7" w:rsidRPr="00215B9E" w:rsidRDefault="00E332D7" w:rsidP="009F018E">
      <w:pPr>
        <w:pStyle w:val="ListParagraph"/>
        <w:numPr>
          <w:ilvl w:val="0"/>
          <w:numId w:val="34"/>
        </w:numPr>
        <w:ind w:left="851" w:hanging="851"/>
      </w:pPr>
      <w:r w:rsidRPr="00215B9E">
        <w:t>Robyn Wallace</w:t>
      </w:r>
    </w:p>
    <w:p w14:paraId="0851C925" w14:textId="77777777" w:rsidR="00E332D7" w:rsidRPr="00215B9E" w:rsidRDefault="00E332D7" w:rsidP="009F018E">
      <w:pPr>
        <w:pStyle w:val="ListParagraph"/>
        <w:numPr>
          <w:ilvl w:val="0"/>
          <w:numId w:val="34"/>
        </w:numPr>
        <w:ind w:left="851" w:hanging="851"/>
      </w:pPr>
      <w:r w:rsidRPr="00215B9E">
        <w:t xml:space="preserve">Stevens </w:t>
      </w:r>
      <w:proofErr w:type="spellStart"/>
      <w:r w:rsidRPr="00215B9E">
        <w:t>Brunbley</w:t>
      </w:r>
      <w:proofErr w:type="spellEnd"/>
    </w:p>
    <w:p w14:paraId="449E48B6" w14:textId="77777777" w:rsidR="00E332D7" w:rsidRPr="00215B9E" w:rsidRDefault="00E332D7" w:rsidP="009F018E">
      <w:pPr>
        <w:pStyle w:val="ListParagraph"/>
        <w:numPr>
          <w:ilvl w:val="0"/>
          <w:numId w:val="34"/>
        </w:numPr>
        <w:ind w:left="851" w:hanging="851"/>
      </w:pPr>
      <w:r w:rsidRPr="00215B9E">
        <w:t>Ross Gilmour</w:t>
      </w:r>
    </w:p>
    <w:p w14:paraId="075857C5" w14:textId="77777777" w:rsidR="00E332D7" w:rsidRPr="00215B9E" w:rsidRDefault="00E332D7" w:rsidP="009F018E">
      <w:pPr>
        <w:pStyle w:val="ListParagraph"/>
        <w:numPr>
          <w:ilvl w:val="0"/>
          <w:numId w:val="34"/>
        </w:numPr>
        <w:ind w:left="851" w:hanging="851"/>
      </w:pPr>
      <w:r w:rsidRPr="00215B9E">
        <w:t>Christine Morris</w:t>
      </w:r>
    </w:p>
    <w:p w14:paraId="632BD863" w14:textId="77777777" w:rsidR="00E332D7" w:rsidRPr="00215B9E" w:rsidRDefault="00E332D7" w:rsidP="009F018E">
      <w:pPr>
        <w:pStyle w:val="ListParagraph"/>
        <w:numPr>
          <w:ilvl w:val="0"/>
          <w:numId w:val="34"/>
        </w:numPr>
        <w:ind w:left="851" w:hanging="851"/>
      </w:pPr>
      <w:r w:rsidRPr="00215B9E">
        <w:t>Nigel Kimball</w:t>
      </w:r>
    </w:p>
    <w:p w14:paraId="2419342B" w14:textId="77777777" w:rsidR="00E332D7" w:rsidRPr="00215B9E" w:rsidRDefault="00E332D7" w:rsidP="009F018E">
      <w:pPr>
        <w:pStyle w:val="ListParagraph"/>
        <w:numPr>
          <w:ilvl w:val="0"/>
          <w:numId w:val="34"/>
        </w:numPr>
        <w:ind w:left="851" w:hanging="851"/>
      </w:pPr>
      <w:r w:rsidRPr="00215B9E">
        <w:t>Janet Grice</w:t>
      </w:r>
    </w:p>
    <w:p w14:paraId="75F3262B" w14:textId="77777777" w:rsidR="00E332D7" w:rsidRPr="00215B9E" w:rsidRDefault="00E332D7" w:rsidP="009F018E">
      <w:pPr>
        <w:pStyle w:val="ListParagraph"/>
        <w:numPr>
          <w:ilvl w:val="0"/>
          <w:numId w:val="34"/>
        </w:numPr>
        <w:ind w:left="851" w:hanging="851"/>
      </w:pPr>
      <w:r w:rsidRPr="00215B9E">
        <w:t>Dale Leary</w:t>
      </w:r>
    </w:p>
    <w:p w14:paraId="0C0C2394" w14:textId="77777777" w:rsidR="00E332D7" w:rsidRPr="00215B9E" w:rsidRDefault="00E332D7" w:rsidP="009F018E">
      <w:pPr>
        <w:pStyle w:val="ListParagraph"/>
        <w:numPr>
          <w:ilvl w:val="0"/>
          <w:numId w:val="34"/>
        </w:numPr>
        <w:ind w:left="851" w:hanging="851"/>
      </w:pPr>
      <w:r w:rsidRPr="00215B9E">
        <w:t>Doug Anderson</w:t>
      </w:r>
    </w:p>
    <w:p w14:paraId="48BDA43B" w14:textId="77777777" w:rsidR="00E332D7" w:rsidRPr="00215B9E" w:rsidRDefault="00E332D7" w:rsidP="009F018E">
      <w:pPr>
        <w:pStyle w:val="ListParagraph"/>
        <w:numPr>
          <w:ilvl w:val="0"/>
          <w:numId w:val="34"/>
        </w:numPr>
        <w:ind w:left="851" w:hanging="851"/>
      </w:pPr>
      <w:r w:rsidRPr="00215B9E">
        <w:t>Ian Harris</w:t>
      </w:r>
    </w:p>
    <w:p w14:paraId="2E523F81" w14:textId="77777777" w:rsidR="00E332D7" w:rsidRPr="00215B9E" w:rsidRDefault="00E332D7" w:rsidP="009F018E">
      <w:pPr>
        <w:pStyle w:val="ListParagraph"/>
        <w:numPr>
          <w:ilvl w:val="0"/>
          <w:numId w:val="34"/>
        </w:numPr>
        <w:ind w:left="851" w:hanging="851"/>
      </w:pPr>
      <w:r w:rsidRPr="00215B9E">
        <w:t>Mathew Kunkel</w:t>
      </w:r>
    </w:p>
    <w:p w14:paraId="245B0A10" w14:textId="77777777" w:rsidR="00E332D7" w:rsidRPr="00215B9E" w:rsidRDefault="00E332D7" w:rsidP="009F018E">
      <w:pPr>
        <w:pStyle w:val="ListParagraph"/>
        <w:numPr>
          <w:ilvl w:val="0"/>
          <w:numId w:val="34"/>
        </w:numPr>
        <w:ind w:left="851" w:hanging="851"/>
      </w:pPr>
      <w:r w:rsidRPr="00215B9E">
        <w:t xml:space="preserve">Daniela </w:t>
      </w:r>
      <w:proofErr w:type="spellStart"/>
      <w:r w:rsidRPr="00215B9E">
        <w:t>Tickel</w:t>
      </w:r>
      <w:proofErr w:type="spellEnd"/>
    </w:p>
    <w:p w14:paraId="539DC541" w14:textId="77777777" w:rsidR="00E332D7" w:rsidRPr="00215B9E" w:rsidRDefault="00E332D7" w:rsidP="009F018E">
      <w:pPr>
        <w:pStyle w:val="ListParagraph"/>
        <w:numPr>
          <w:ilvl w:val="0"/>
          <w:numId w:val="34"/>
        </w:numPr>
        <w:ind w:left="851" w:hanging="851"/>
      </w:pPr>
      <w:r w:rsidRPr="00215B9E">
        <w:t>John O’Hair</w:t>
      </w:r>
    </w:p>
    <w:p w14:paraId="66A5265A" w14:textId="77777777" w:rsidR="00E332D7" w:rsidRPr="00215B9E" w:rsidRDefault="00E332D7" w:rsidP="009F018E">
      <w:pPr>
        <w:pStyle w:val="ListParagraph"/>
        <w:numPr>
          <w:ilvl w:val="0"/>
          <w:numId w:val="34"/>
        </w:numPr>
        <w:ind w:left="851" w:hanging="851"/>
      </w:pPr>
      <w:r w:rsidRPr="00215B9E">
        <w:t>Sonya Brown</w:t>
      </w:r>
    </w:p>
    <w:p w14:paraId="68BD3F6E" w14:textId="77777777" w:rsidR="00E332D7" w:rsidRPr="00215B9E" w:rsidRDefault="00E332D7" w:rsidP="009F018E">
      <w:pPr>
        <w:pStyle w:val="ListParagraph"/>
        <w:numPr>
          <w:ilvl w:val="0"/>
          <w:numId w:val="34"/>
        </w:numPr>
        <w:ind w:left="851" w:hanging="851"/>
      </w:pPr>
      <w:r w:rsidRPr="00215B9E">
        <w:t>Margaret Brown</w:t>
      </w:r>
    </w:p>
    <w:p w14:paraId="3F375F04" w14:textId="77777777" w:rsidR="00E332D7" w:rsidRPr="00215B9E" w:rsidRDefault="00E332D7" w:rsidP="009F018E">
      <w:pPr>
        <w:pStyle w:val="ListParagraph"/>
        <w:numPr>
          <w:ilvl w:val="0"/>
          <w:numId w:val="34"/>
        </w:numPr>
        <w:ind w:left="851" w:hanging="851"/>
      </w:pPr>
      <w:r w:rsidRPr="00215B9E">
        <w:t>Shin-Nig Then</w:t>
      </w:r>
    </w:p>
    <w:p w14:paraId="4A44E030" w14:textId="77777777" w:rsidR="00E332D7" w:rsidRPr="00215B9E" w:rsidRDefault="00E332D7" w:rsidP="009F018E">
      <w:pPr>
        <w:pStyle w:val="ListParagraph"/>
        <w:numPr>
          <w:ilvl w:val="0"/>
          <w:numId w:val="34"/>
        </w:numPr>
        <w:ind w:left="851" w:hanging="851"/>
      </w:pPr>
      <w:r w:rsidRPr="00215B9E">
        <w:t>Charles Nelson</w:t>
      </w:r>
    </w:p>
    <w:p w14:paraId="4F597312" w14:textId="77777777" w:rsidR="00E332D7" w:rsidRPr="00215B9E" w:rsidRDefault="00E332D7" w:rsidP="009F018E">
      <w:pPr>
        <w:pStyle w:val="ListParagraph"/>
        <w:numPr>
          <w:ilvl w:val="0"/>
          <w:numId w:val="34"/>
        </w:numPr>
        <w:ind w:left="851" w:hanging="851"/>
      </w:pPr>
      <w:r w:rsidRPr="00215B9E">
        <w:t>Peter Twine (CRC Sugar)</w:t>
      </w:r>
    </w:p>
    <w:p w14:paraId="35A04704" w14:textId="77777777" w:rsidR="00E332D7" w:rsidRPr="00215B9E" w:rsidRDefault="00E332D7" w:rsidP="009F018E">
      <w:pPr>
        <w:pStyle w:val="ListParagraph"/>
        <w:numPr>
          <w:ilvl w:val="0"/>
          <w:numId w:val="34"/>
        </w:numPr>
        <w:ind w:left="851" w:hanging="851"/>
      </w:pPr>
      <w:r w:rsidRPr="00215B9E">
        <w:t xml:space="preserve">Astrid </w:t>
      </w:r>
      <w:proofErr w:type="spellStart"/>
      <w:r w:rsidRPr="00215B9E">
        <w:t>Gesche</w:t>
      </w:r>
      <w:proofErr w:type="spellEnd"/>
      <w:r w:rsidRPr="00215B9E">
        <w:t xml:space="preserve"> (QUT)</w:t>
      </w:r>
    </w:p>
    <w:p w14:paraId="60D1373F" w14:textId="77777777" w:rsidR="00E332D7" w:rsidRPr="00215B9E" w:rsidRDefault="00E332D7" w:rsidP="009F018E">
      <w:pPr>
        <w:pStyle w:val="ListParagraph"/>
        <w:numPr>
          <w:ilvl w:val="0"/>
          <w:numId w:val="34"/>
        </w:numPr>
        <w:ind w:left="851" w:hanging="851"/>
      </w:pPr>
      <w:r w:rsidRPr="00215B9E">
        <w:t>Katie Steele (UQ)</w:t>
      </w:r>
    </w:p>
    <w:p w14:paraId="55416113" w14:textId="77777777" w:rsidR="00E332D7" w:rsidRPr="00215B9E" w:rsidRDefault="00E332D7" w:rsidP="009F018E">
      <w:pPr>
        <w:pStyle w:val="ListParagraph"/>
        <w:numPr>
          <w:ilvl w:val="0"/>
          <w:numId w:val="34"/>
        </w:numPr>
        <w:ind w:left="851" w:hanging="851"/>
      </w:pPr>
      <w:r w:rsidRPr="00215B9E">
        <w:t>Barbara Hocking (QUT)</w:t>
      </w:r>
    </w:p>
    <w:p w14:paraId="4835F30A" w14:textId="77777777" w:rsidR="00E332D7" w:rsidRPr="00215B9E" w:rsidRDefault="00E332D7" w:rsidP="009F018E">
      <w:pPr>
        <w:pStyle w:val="ListParagraph"/>
        <w:numPr>
          <w:ilvl w:val="0"/>
          <w:numId w:val="34"/>
        </w:numPr>
        <w:ind w:left="851" w:hanging="851"/>
      </w:pPr>
      <w:r w:rsidRPr="00215B9E">
        <w:t>Jeff Smith (Environmental Defender’s Office)</w:t>
      </w:r>
    </w:p>
    <w:p w14:paraId="6309423E" w14:textId="0666ADE1" w:rsidR="00E332D7" w:rsidRPr="00E332D7" w:rsidRDefault="00E332D7" w:rsidP="00215B9E">
      <w:pPr>
        <w:pStyle w:val="Heading3"/>
      </w:pPr>
      <w:r w:rsidRPr="00E332D7">
        <w:t>Townsville (Queensland), Wednesday, 2 November 2005</w:t>
      </w:r>
    </w:p>
    <w:p w14:paraId="753F233B" w14:textId="77777777" w:rsidR="00E332D7" w:rsidRPr="00215B9E" w:rsidRDefault="00E332D7" w:rsidP="009F018E">
      <w:pPr>
        <w:pStyle w:val="ListParagraph"/>
        <w:numPr>
          <w:ilvl w:val="0"/>
          <w:numId w:val="35"/>
        </w:numPr>
        <w:ind w:left="851" w:hanging="851"/>
      </w:pPr>
      <w:r w:rsidRPr="00215B9E">
        <w:t>Leigh Winsor (James Cook University)</w:t>
      </w:r>
    </w:p>
    <w:p w14:paraId="12377F0E" w14:textId="77777777" w:rsidR="00E332D7" w:rsidRPr="00215B9E" w:rsidRDefault="00E332D7" w:rsidP="009F018E">
      <w:pPr>
        <w:pStyle w:val="ListParagraph"/>
        <w:numPr>
          <w:ilvl w:val="0"/>
          <w:numId w:val="35"/>
        </w:numPr>
        <w:ind w:left="851" w:hanging="851"/>
      </w:pPr>
      <w:r w:rsidRPr="00215B9E">
        <w:t>Terry Morton</w:t>
      </w:r>
    </w:p>
    <w:p w14:paraId="7611EFDC" w14:textId="77777777" w:rsidR="00E332D7" w:rsidRPr="00215B9E" w:rsidRDefault="00E332D7" w:rsidP="009F018E">
      <w:pPr>
        <w:pStyle w:val="ListParagraph"/>
        <w:numPr>
          <w:ilvl w:val="0"/>
          <w:numId w:val="35"/>
        </w:numPr>
        <w:ind w:left="851" w:hanging="851"/>
      </w:pPr>
      <w:r w:rsidRPr="00215B9E">
        <w:t>Peter Collins</w:t>
      </w:r>
    </w:p>
    <w:p w14:paraId="292BB878" w14:textId="77777777" w:rsidR="00E332D7" w:rsidRPr="00215B9E" w:rsidRDefault="00E332D7" w:rsidP="009F018E">
      <w:pPr>
        <w:pStyle w:val="ListParagraph"/>
        <w:numPr>
          <w:ilvl w:val="0"/>
          <w:numId w:val="35"/>
        </w:numPr>
        <w:ind w:left="851" w:hanging="851"/>
      </w:pPr>
      <w:r w:rsidRPr="00215B9E">
        <w:t xml:space="preserve">Beth </w:t>
      </w:r>
      <w:proofErr w:type="spellStart"/>
      <w:r w:rsidRPr="00215B9E">
        <w:t>Ballment</w:t>
      </w:r>
      <w:proofErr w:type="spellEnd"/>
    </w:p>
    <w:p w14:paraId="0D509CA7" w14:textId="77777777" w:rsidR="00E332D7" w:rsidRPr="00215B9E" w:rsidRDefault="00E332D7" w:rsidP="009F018E">
      <w:pPr>
        <w:pStyle w:val="ListParagraph"/>
        <w:numPr>
          <w:ilvl w:val="0"/>
          <w:numId w:val="35"/>
        </w:numPr>
        <w:ind w:left="851" w:hanging="851"/>
      </w:pPr>
      <w:r w:rsidRPr="00215B9E">
        <w:t>Jean Dartnall</w:t>
      </w:r>
    </w:p>
    <w:p w14:paraId="689669F7" w14:textId="77777777" w:rsidR="00E332D7" w:rsidRPr="00215B9E" w:rsidRDefault="00E332D7" w:rsidP="009F018E">
      <w:pPr>
        <w:pStyle w:val="ListParagraph"/>
        <w:numPr>
          <w:ilvl w:val="0"/>
          <w:numId w:val="35"/>
        </w:numPr>
        <w:ind w:left="851" w:hanging="851"/>
      </w:pPr>
      <w:r w:rsidRPr="00215B9E">
        <w:t>Kelly Buchanan</w:t>
      </w:r>
    </w:p>
    <w:p w14:paraId="6D6C0484" w14:textId="77777777" w:rsidR="00E332D7" w:rsidRPr="00215B9E" w:rsidRDefault="00E332D7" w:rsidP="009F018E">
      <w:pPr>
        <w:pStyle w:val="ListParagraph"/>
        <w:numPr>
          <w:ilvl w:val="0"/>
          <w:numId w:val="35"/>
        </w:numPr>
        <w:ind w:left="851" w:hanging="851"/>
      </w:pPr>
      <w:r w:rsidRPr="00215B9E">
        <w:t>Graham Burgess</w:t>
      </w:r>
    </w:p>
    <w:p w14:paraId="63F62959" w14:textId="77777777" w:rsidR="00B42588" w:rsidRPr="00215B9E" w:rsidRDefault="00E332D7" w:rsidP="009F018E">
      <w:pPr>
        <w:pStyle w:val="ListParagraph"/>
        <w:numPr>
          <w:ilvl w:val="0"/>
          <w:numId w:val="35"/>
        </w:numPr>
        <w:ind w:left="851" w:hanging="851"/>
      </w:pPr>
      <w:r w:rsidRPr="00215B9E">
        <w:t xml:space="preserve">Darren </w:t>
      </w:r>
      <w:proofErr w:type="spellStart"/>
      <w:r w:rsidRPr="00215B9E">
        <w:t>Schliebs</w:t>
      </w:r>
      <w:proofErr w:type="spellEnd"/>
      <w:r w:rsidRPr="00215B9E">
        <w:t xml:space="preserve"> (CSR)</w:t>
      </w:r>
    </w:p>
    <w:p w14:paraId="759D1CA9" w14:textId="2C293E39" w:rsidR="000C40DB" w:rsidRPr="000C40DB" w:rsidRDefault="000C40DB" w:rsidP="00215B9E">
      <w:pPr>
        <w:pStyle w:val="Heading3"/>
      </w:pPr>
      <w:r w:rsidRPr="000C40DB">
        <w:t>Narrabri (New South Wales), Sunday 6 November 2005</w:t>
      </w:r>
    </w:p>
    <w:p w14:paraId="27617DBA" w14:textId="77777777" w:rsidR="000C40DB" w:rsidRPr="00215B9E" w:rsidRDefault="000C40DB" w:rsidP="009F018E">
      <w:pPr>
        <w:pStyle w:val="ListParagraph"/>
        <w:numPr>
          <w:ilvl w:val="0"/>
          <w:numId w:val="36"/>
        </w:numPr>
        <w:ind w:left="851" w:hanging="851"/>
      </w:pPr>
      <w:r w:rsidRPr="00215B9E">
        <w:t>Andrew Watson (Producers Forum)</w:t>
      </w:r>
    </w:p>
    <w:p w14:paraId="622105A3" w14:textId="77777777" w:rsidR="000C40DB" w:rsidRPr="00215B9E" w:rsidRDefault="000C40DB" w:rsidP="009F018E">
      <w:pPr>
        <w:pStyle w:val="ListParagraph"/>
        <w:numPr>
          <w:ilvl w:val="0"/>
          <w:numId w:val="36"/>
        </w:numPr>
        <w:ind w:left="851" w:hanging="851"/>
      </w:pPr>
      <w:r w:rsidRPr="00215B9E">
        <w:t>Terry Haynes (Producers Forum)</w:t>
      </w:r>
    </w:p>
    <w:p w14:paraId="27E2197B" w14:textId="77777777" w:rsidR="000C40DB" w:rsidRPr="00215B9E" w:rsidRDefault="000C40DB" w:rsidP="009F018E">
      <w:pPr>
        <w:pStyle w:val="ListParagraph"/>
        <w:numPr>
          <w:ilvl w:val="0"/>
          <w:numId w:val="36"/>
        </w:numPr>
        <w:ind w:left="851" w:hanging="851"/>
      </w:pPr>
      <w:r w:rsidRPr="00215B9E">
        <w:t>Steven Ainsworth (Monsanto)</w:t>
      </w:r>
    </w:p>
    <w:p w14:paraId="27F8404D" w14:textId="77777777" w:rsidR="000C40DB" w:rsidRPr="00215B9E" w:rsidRDefault="000C40DB" w:rsidP="009F018E">
      <w:pPr>
        <w:pStyle w:val="ListParagraph"/>
        <w:numPr>
          <w:ilvl w:val="0"/>
          <w:numId w:val="36"/>
        </w:numPr>
        <w:ind w:left="851" w:hanging="851"/>
      </w:pPr>
      <w:r w:rsidRPr="00215B9E">
        <w:t>Phillip Steel (CDS/ASF)</w:t>
      </w:r>
    </w:p>
    <w:p w14:paraId="79C7A1C9" w14:textId="77777777" w:rsidR="000C40DB" w:rsidRPr="00215B9E" w:rsidRDefault="000C40DB" w:rsidP="009F018E">
      <w:pPr>
        <w:pStyle w:val="ListParagraph"/>
        <w:numPr>
          <w:ilvl w:val="0"/>
          <w:numId w:val="36"/>
        </w:numPr>
        <w:ind w:left="851" w:hanging="851"/>
      </w:pPr>
      <w:r w:rsidRPr="00215B9E">
        <w:lastRenderedPageBreak/>
        <w:t>Craig Dunn (Monsanto)</w:t>
      </w:r>
    </w:p>
    <w:p w14:paraId="7A9697B9" w14:textId="77777777" w:rsidR="000C40DB" w:rsidRPr="00215B9E" w:rsidRDefault="000C40DB" w:rsidP="009F018E">
      <w:pPr>
        <w:pStyle w:val="ListParagraph"/>
        <w:numPr>
          <w:ilvl w:val="0"/>
          <w:numId w:val="36"/>
        </w:numPr>
        <w:ind w:left="851" w:hanging="851"/>
      </w:pPr>
      <w:r w:rsidRPr="00215B9E">
        <w:t>Greg Constable (CSIRO Plant Industry)</w:t>
      </w:r>
    </w:p>
    <w:p w14:paraId="7E479036" w14:textId="77777777" w:rsidR="000C40DB" w:rsidRPr="00215B9E" w:rsidRDefault="000C40DB" w:rsidP="009F018E">
      <w:pPr>
        <w:pStyle w:val="ListParagraph"/>
        <w:numPr>
          <w:ilvl w:val="0"/>
          <w:numId w:val="36"/>
        </w:numPr>
        <w:ind w:left="851" w:hanging="851"/>
      </w:pPr>
      <w:r w:rsidRPr="00215B9E">
        <w:t xml:space="preserve">Greg </w:t>
      </w:r>
      <w:proofErr w:type="spellStart"/>
      <w:r w:rsidRPr="00215B9E">
        <w:t>Kauter</w:t>
      </w:r>
      <w:proofErr w:type="spellEnd"/>
      <w:r w:rsidRPr="00215B9E">
        <w:t xml:space="preserve"> (ACGRA)</w:t>
      </w:r>
    </w:p>
    <w:p w14:paraId="1A745923" w14:textId="77777777" w:rsidR="000C40DB" w:rsidRPr="00215B9E" w:rsidRDefault="000C40DB" w:rsidP="009F018E">
      <w:pPr>
        <w:pStyle w:val="ListParagraph"/>
        <w:numPr>
          <w:ilvl w:val="0"/>
          <w:numId w:val="36"/>
        </w:numPr>
        <w:ind w:left="851" w:hanging="851"/>
      </w:pPr>
      <w:r w:rsidRPr="00215B9E">
        <w:t>Michael Murray (Gwydir Valley Cotton Growers Association)</w:t>
      </w:r>
    </w:p>
    <w:p w14:paraId="7C8C4E61" w14:textId="77777777" w:rsidR="000C40DB" w:rsidRPr="00215B9E" w:rsidRDefault="000C40DB" w:rsidP="009F018E">
      <w:pPr>
        <w:pStyle w:val="ListParagraph"/>
        <w:numPr>
          <w:ilvl w:val="0"/>
          <w:numId w:val="36"/>
        </w:numPr>
        <w:ind w:left="851" w:hanging="851"/>
      </w:pPr>
      <w:r w:rsidRPr="00215B9E">
        <w:t>Bruce Pike (CRDC)</w:t>
      </w:r>
    </w:p>
    <w:p w14:paraId="2DA7E80F" w14:textId="77777777" w:rsidR="000C40DB" w:rsidRPr="00215B9E" w:rsidRDefault="000C40DB" w:rsidP="009F018E">
      <w:pPr>
        <w:pStyle w:val="ListParagraph"/>
        <w:numPr>
          <w:ilvl w:val="0"/>
          <w:numId w:val="36"/>
        </w:numPr>
        <w:ind w:left="851" w:hanging="851"/>
      </w:pPr>
      <w:r w:rsidRPr="00215B9E">
        <w:t>Guy Roth (Cotton Catchment Communities CRC)</w:t>
      </w:r>
    </w:p>
    <w:p w14:paraId="1D7E5501" w14:textId="77777777" w:rsidR="000C40DB" w:rsidRPr="00215B9E" w:rsidRDefault="000C40DB" w:rsidP="009F018E">
      <w:pPr>
        <w:pStyle w:val="ListParagraph"/>
        <w:numPr>
          <w:ilvl w:val="0"/>
          <w:numId w:val="36"/>
        </w:numPr>
        <w:ind w:left="851" w:hanging="851"/>
      </w:pPr>
      <w:r w:rsidRPr="00215B9E">
        <w:t>Tracey Farrell (Cotton Catchment Communities CRC and NSWDPI)</w:t>
      </w:r>
    </w:p>
    <w:p w14:paraId="128FBAC4" w14:textId="77777777" w:rsidR="000C40DB" w:rsidRPr="00215B9E" w:rsidRDefault="000C40DB" w:rsidP="009F018E">
      <w:pPr>
        <w:pStyle w:val="ListParagraph"/>
        <w:numPr>
          <w:ilvl w:val="0"/>
          <w:numId w:val="36"/>
        </w:numPr>
        <w:ind w:left="851" w:hanging="851"/>
      </w:pPr>
      <w:r w:rsidRPr="00215B9E">
        <w:t>Bruce (Cotton R+D Corp)</w:t>
      </w:r>
    </w:p>
    <w:p w14:paraId="2EFCBBE8" w14:textId="77777777" w:rsidR="000C40DB" w:rsidRPr="00215B9E" w:rsidRDefault="000C40DB" w:rsidP="009F018E">
      <w:pPr>
        <w:pStyle w:val="ListParagraph"/>
        <w:numPr>
          <w:ilvl w:val="0"/>
          <w:numId w:val="36"/>
        </w:numPr>
        <w:ind w:left="851" w:hanging="851"/>
      </w:pPr>
      <w:proofErr w:type="spellStart"/>
      <w:r w:rsidRPr="00215B9E">
        <w:t>Bethwyn</w:t>
      </w:r>
      <w:proofErr w:type="spellEnd"/>
      <w:r w:rsidRPr="00215B9E">
        <w:t xml:space="preserve"> Todd (Monsanto)</w:t>
      </w:r>
    </w:p>
    <w:p w14:paraId="30C190CB" w14:textId="4F7AF87D" w:rsidR="000C40DB" w:rsidRPr="000C40DB" w:rsidRDefault="000C40DB" w:rsidP="00215B9E">
      <w:pPr>
        <w:pStyle w:val="Heading3"/>
      </w:pPr>
      <w:r w:rsidRPr="000C40DB">
        <w:t>Sydney (New South Wales), Monday 7 November 2005</w:t>
      </w:r>
    </w:p>
    <w:p w14:paraId="0CDC899A" w14:textId="77777777" w:rsidR="000C40DB" w:rsidRPr="00220DB6" w:rsidRDefault="000C40DB" w:rsidP="009F018E">
      <w:pPr>
        <w:pStyle w:val="ListParagraph"/>
        <w:numPr>
          <w:ilvl w:val="0"/>
          <w:numId w:val="37"/>
        </w:numPr>
        <w:ind w:left="851" w:hanging="851"/>
      </w:pPr>
      <w:r w:rsidRPr="00220DB6">
        <w:t>Michael Matthews (Producers Forum)</w:t>
      </w:r>
    </w:p>
    <w:p w14:paraId="039781DC" w14:textId="77777777" w:rsidR="000C40DB" w:rsidRPr="00220DB6" w:rsidRDefault="000C40DB" w:rsidP="009F018E">
      <w:pPr>
        <w:pStyle w:val="ListParagraph"/>
        <w:numPr>
          <w:ilvl w:val="0"/>
          <w:numId w:val="37"/>
        </w:numPr>
        <w:ind w:left="851" w:hanging="851"/>
      </w:pPr>
      <w:r w:rsidRPr="00220DB6">
        <w:t>Charles Rue (Columbian Peace, Ecology and Justice Centre)</w:t>
      </w:r>
    </w:p>
    <w:p w14:paraId="665D8F24" w14:textId="77777777" w:rsidR="000C40DB" w:rsidRPr="00220DB6" w:rsidRDefault="000C40DB" w:rsidP="009F018E">
      <w:pPr>
        <w:pStyle w:val="ListParagraph"/>
        <w:numPr>
          <w:ilvl w:val="0"/>
          <w:numId w:val="37"/>
        </w:numPr>
        <w:ind w:left="851" w:hanging="851"/>
      </w:pPr>
      <w:r w:rsidRPr="00220DB6">
        <w:t>Julie Gray (Biosafety Committee, University of Wollongong)</w:t>
      </w:r>
    </w:p>
    <w:p w14:paraId="2E493717" w14:textId="77777777" w:rsidR="000C40DB" w:rsidRPr="00220DB6" w:rsidRDefault="000C40DB" w:rsidP="009F018E">
      <w:pPr>
        <w:pStyle w:val="ListParagraph"/>
        <w:numPr>
          <w:ilvl w:val="0"/>
          <w:numId w:val="37"/>
        </w:numPr>
        <w:ind w:left="851" w:hanging="851"/>
      </w:pPr>
      <w:r w:rsidRPr="00220DB6">
        <w:t>Maree McKay (Producers Forum)</w:t>
      </w:r>
    </w:p>
    <w:p w14:paraId="49D32D1F" w14:textId="77777777" w:rsidR="000C40DB" w:rsidRPr="00220DB6" w:rsidRDefault="000C40DB" w:rsidP="009F018E">
      <w:pPr>
        <w:pStyle w:val="ListParagraph"/>
        <w:numPr>
          <w:ilvl w:val="0"/>
          <w:numId w:val="37"/>
        </w:numPr>
        <w:ind w:left="851" w:hanging="851"/>
      </w:pPr>
      <w:r w:rsidRPr="00220DB6">
        <w:t>Wayne McKay (Producers Forum)</w:t>
      </w:r>
    </w:p>
    <w:p w14:paraId="4576C7D7" w14:textId="77777777" w:rsidR="000C40DB" w:rsidRPr="00220DB6" w:rsidRDefault="000C40DB" w:rsidP="009F018E">
      <w:pPr>
        <w:pStyle w:val="ListParagraph"/>
        <w:numPr>
          <w:ilvl w:val="0"/>
          <w:numId w:val="37"/>
        </w:numPr>
        <w:ind w:left="851" w:hanging="851"/>
      </w:pPr>
      <w:r w:rsidRPr="00220DB6">
        <w:t>Dougal Gordon (NSW Farmers’ Association)</w:t>
      </w:r>
    </w:p>
    <w:p w14:paraId="78DD6B2D" w14:textId="77777777" w:rsidR="000C40DB" w:rsidRPr="00220DB6" w:rsidRDefault="000C40DB" w:rsidP="009F018E">
      <w:pPr>
        <w:pStyle w:val="ListParagraph"/>
        <w:numPr>
          <w:ilvl w:val="0"/>
          <w:numId w:val="37"/>
        </w:numPr>
        <w:ind w:left="851" w:hanging="851"/>
      </w:pPr>
      <w:r w:rsidRPr="00220DB6">
        <w:t>Hugh Roberts (NSW Farmers’ Association)</w:t>
      </w:r>
    </w:p>
    <w:p w14:paraId="6165A903" w14:textId="77777777" w:rsidR="000C40DB" w:rsidRPr="00220DB6" w:rsidRDefault="000C40DB" w:rsidP="009F018E">
      <w:pPr>
        <w:pStyle w:val="ListParagraph"/>
        <w:numPr>
          <w:ilvl w:val="0"/>
          <w:numId w:val="37"/>
        </w:numPr>
        <w:ind w:left="851" w:hanging="851"/>
      </w:pPr>
      <w:r w:rsidRPr="00220DB6">
        <w:t>Lynn Croft (</w:t>
      </w:r>
      <w:proofErr w:type="spellStart"/>
      <w:r w:rsidRPr="00220DB6">
        <w:t>Garvan</w:t>
      </w:r>
      <w:proofErr w:type="spellEnd"/>
      <w:r w:rsidRPr="00220DB6">
        <w:t xml:space="preserve"> Institute)</w:t>
      </w:r>
    </w:p>
    <w:p w14:paraId="1411C81C" w14:textId="77777777" w:rsidR="000C40DB" w:rsidRPr="00220DB6" w:rsidRDefault="000C40DB" w:rsidP="009F018E">
      <w:pPr>
        <w:pStyle w:val="ListParagraph"/>
        <w:numPr>
          <w:ilvl w:val="0"/>
          <w:numId w:val="37"/>
        </w:numPr>
        <w:ind w:left="851" w:hanging="851"/>
      </w:pPr>
      <w:r w:rsidRPr="00220DB6">
        <w:t>Lindsay Cook</w:t>
      </w:r>
    </w:p>
    <w:p w14:paraId="0936A2DB" w14:textId="77777777" w:rsidR="000C40DB" w:rsidRPr="00220DB6" w:rsidRDefault="000C40DB" w:rsidP="009F018E">
      <w:pPr>
        <w:pStyle w:val="ListParagraph"/>
        <w:numPr>
          <w:ilvl w:val="0"/>
          <w:numId w:val="37"/>
        </w:numPr>
        <w:ind w:left="851" w:hanging="851"/>
      </w:pPr>
      <w:r w:rsidRPr="00220DB6">
        <w:t>Ariel Salleh</w:t>
      </w:r>
    </w:p>
    <w:p w14:paraId="10126661" w14:textId="77777777" w:rsidR="000C40DB" w:rsidRPr="00220DB6" w:rsidRDefault="000C40DB" w:rsidP="009F018E">
      <w:pPr>
        <w:pStyle w:val="ListParagraph"/>
        <w:numPr>
          <w:ilvl w:val="0"/>
          <w:numId w:val="37"/>
        </w:numPr>
        <w:ind w:left="851" w:hanging="851"/>
      </w:pPr>
      <w:r w:rsidRPr="00220DB6">
        <w:t>Des Boucher</w:t>
      </w:r>
    </w:p>
    <w:p w14:paraId="2CEE6145" w14:textId="77777777" w:rsidR="000C40DB" w:rsidRPr="00220DB6" w:rsidRDefault="000C40DB" w:rsidP="009F018E">
      <w:pPr>
        <w:pStyle w:val="ListParagraph"/>
        <w:numPr>
          <w:ilvl w:val="0"/>
          <w:numId w:val="37"/>
        </w:numPr>
        <w:ind w:left="851" w:hanging="851"/>
      </w:pPr>
      <w:r w:rsidRPr="00220DB6">
        <w:t>David Anthony (</w:t>
      </w:r>
      <w:proofErr w:type="spellStart"/>
      <w:r w:rsidRPr="00220DB6">
        <w:t>Auscott</w:t>
      </w:r>
      <w:proofErr w:type="spellEnd"/>
      <w:r w:rsidRPr="00220DB6">
        <w:t>)</w:t>
      </w:r>
    </w:p>
    <w:p w14:paraId="50165939" w14:textId="77777777" w:rsidR="000C40DB" w:rsidRPr="00220DB6" w:rsidRDefault="000C40DB" w:rsidP="009F018E">
      <w:pPr>
        <w:pStyle w:val="ListParagraph"/>
        <w:numPr>
          <w:ilvl w:val="0"/>
          <w:numId w:val="37"/>
        </w:numPr>
        <w:ind w:left="851" w:hanging="851"/>
      </w:pPr>
      <w:r w:rsidRPr="00220DB6">
        <w:t>Rachel Walmsley (EDO)</w:t>
      </w:r>
    </w:p>
    <w:p w14:paraId="0469D2A7" w14:textId="77777777" w:rsidR="000C40DB" w:rsidRPr="00220DB6" w:rsidRDefault="000C40DB" w:rsidP="009F018E">
      <w:pPr>
        <w:pStyle w:val="ListParagraph"/>
        <w:numPr>
          <w:ilvl w:val="0"/>
          <w:numId w:val="37"/>
        </w:numPr>
        <w:ind w:left="851" w:hanging="851"/>
      </w:pPr>
      <w:r w:rsidRPr="00220DB6">
        <w:t>Fern Wickson (University of Wollongong)</w:t>
      </w:r>
    </w:p>
    <w:p w14:paraId="6AC2F634" w14:textId="77777777" w:rsidR="000C40DB" w:rsidRPr="00220DB6" w:rsidRDefault="000C40DB" w:rsidP="009F018E">
      <w:pPr>
        <w:pStyle w:val="ListParagraph"/>
        <w:numPr>
          <w:ilvl w:val="0"/>
          <w:numId w:val="37"/>
        </w:numPr>
        <w:ind w:left="851" w:hanging="851"/>
      </w:pPr>
      <w:proofErr w:type="spellStart"/>
      <w:r w:rsidRPr="00220DB6">
        <w:t>Kutay</w:t>
      </w:r>
      <w:proofErr w:type="spellEnd"/>
      <w:r w:rsidRPr="00220DB6">
        <w:t xml:space="preserve"> </w:t>
      </w:r>
      <w:proofErr w:type="spellStart"/>
      <w:r w:rsidRPr="00220DB6">
        <w:t>Kesim</w:t>
      </w:r>
      <w:proofErr w:type="spellEnd"/>
      <w:r w:rsidRPr="00220DB6">
        <w:t xml:space="preserve"> (Macquarie University)</w:t>
      </w:r>
    </w:p>
    <w:p w14:paraId="546C292B" w14:textId="77777777" w:rsidR="000C40DB" w:rsidRPr="00220DB6" w:rsidRDefault="000C40DB" w:rsidP="009F018E">
      <w:pPr>
        <w:pStyle w:val="ListParagraph"/>
        <w:numPr>
          <w:ilvl w:val="0"/>
          <w:numId w:val="37"/>
        </w:numPr>
        <w:ind w:left="851" w:hanging="851"/>
      </w:pPr>
      <w:proofErr w:type="spellStart"/>
      <w:r w:rsidRPr="00220DB6">
        <w:t>Selen</w:t>
      </w:r>
      <w:proofErr w:type="spellEnd"/>
      <w:r w:rsidRPr="00220DB6">
        <w:t xml:space="preserve"> </w:t>
      </w:r>
      <w:proofErr w:type="spellStart"/>
      <w:r w:rsidRPr="00220DB6">
        <w:t>Ayirtman</w:t>
      </w:r>
      <w:proofErr w:type="spellEnd"/>
    </w:p>
    <w:p w14:paraId="54742F43" w14:textId="77777777" w:rsidR="000C40DB" w:rsidRPr="00220DB6" w:rsidRDefault="000C40DB" w:rsidP="009F018E">
      <w:pPr>
        <w:pStyle w:val="ListParagraph"/>
        <w:numPr>
          <w:ilvl w:val="0"/>
          <w:numId w:val="37"/>
        </w:numPr>
        <w:ind w:left="851" w:hanging="851"/>
      </w:pPr>
      <w:r w:rsidRPr="00220DB6">
        <w:t>Jenny Dawkins (Sydney University)</w:t>
      </w:r>
    </w:p>
    <w:p w14:paraId="0845F29D" w14:textId="77777777" w:rsidR="000C40DB" w:rsidRPr="00220DB6" w:rsidRDefault="000C40DB" w:rsidP="009F018E">
      <w:pPr>
        <w:pStyle w:val="ListParagraph"/>
        <w:numPr>
          <w:ilvl w:val="0"/>
          <w:numId w:val="37"/>
        </w:numPr>
        <w:ind w:left="851" w:hanging="851"/>
      </w:pPr>
      <w:r w:rsidRPr="00220DB6">
        <w:t xml:space="preserve">Lisa </w:t>
      </w:r>
      <w:proofErr w:type="spellStart"/>
      <w:r w:rsidRPr="00220DB6">
        <w:t>Brycnt</w:t>
      </w:r>
      <w:proofErr w:type="spellEnd"/>
    </w:p>
    <w:p w14:paraId="7E791945" w14:textId="77777777" w:rsidR="000C40DB" w:rsidRPr="00220DB6" w:rsidRDefault="000C40DB" w:rsidP="009F018E">
      <w:pPr>
        <w:pStyle w:val="ListParagraph"/>
        <w:numPr>
          <w:ilvl w:val="0"/>
          <w:numId w:val="37"/>
        </w:numPr>
        <w:ind w:left="851" w:hanging="851"/>
      </w:pPr>
      <w:r w:rsidRPr="00220DB6">
        <w:t>Ashley Power (</w:t>
      </w:r>
      <w:proofErr w:type="spellStart"/>
      <w:r w:rsidRPr="00220DB6">
        <w:t>Auscott</w:t>
      </w:r>
      <w:proofErr w:type="spellEnd"/>
      <w:r w:rsidRPr="00220DB6">
        <w:t>)</w:t>
      </w:r>
    </w:p>
    <w:p w14:paraId="06CB5AAA" w14:textId="77777777" w:rsidR="000C40DB" w:rsidRPr="00220DB6" w:rsidRDefault="000C40DB" w:rsidP="009F018E">
      <w:pPr>
        <w:pStyle w:val="ListParagraph"/>
        <w:numPr>
          <w:ilvl w:val="0"/>
          <w:numId w:val="37"/>
        </w:numPr>
        <w:ind w:left="851" w:hanging="851"/>
      </w:pPr>
      <w:proofErr w:type="spellStart"/>
      <w:r w:rsidRPr="00220DB6">
        <w:t>Leane</w:t>
      </w:r>
      <w:proofErr w:type="spellEnd"/>
      <w:r w:rsidRPr="00220DB6">
        <w:t xml:space="preserve"> </w:t>
      </w:r>
      <w:proofErr w:type="spellStart"/>
      <w:r w:rsidRPr="00220DB6">
        <w:t>Ameneiro</w:t>
      </w:r>
      <w:proofErr w:type="spellEnd"/>
      <w:r w:rsidRPr="00220DB6">
        <w:t xml:space="preserve"> (</w:t>
      </w:r>
      <w:proofErr w:type="spellStart"/>
      <w:r w:rsidRPr="00220DB6">
        <w:t>Auscott</w:t>
      </w:r>
      <w:proofErr w:type="spellEnd"/>
      <w:r w:rsidRPr="00220DB6">
        <w:t>)</w:t>
      </w:r>
    </w:p>
    <w:p w14:paraId="4261E321" w14:textId="77777777" w:rsidR="000C40DB" w:rsidRPr="00220DB6" w:rsidRDefault="000C40DB" w:rsidP="009F018E">
      <w:pPr>
        <w:pStyle w:val="ListParagraph"/>
        <w:numPr>
          <w:ilvl w:val="0"/>
          <w:numId w:val="37"/>
        </w:numPr>
        <w:ind w:left="851" w:hanging="851"/>
      </w:pPr>
      <w:r w:rsidRPr="00220DB6">
        <w:t xml:space="preserve">Greg </w:t>
      </w:r>
      <w:proofErr w:type="spellStart"/>
      <w:r w:rsidRPr="00220DB6">
        <w:t>Parle</w:t>
      </w:r>
      <w:proofErr w:type="spellEnd"/>
      <w:r w:rsidRPr="00220DB6">
        <w:t xml:space="preserve"> (</w:t>
      </w:r>
      <w:proofErr w:type="spellStart"/>
      <w:r w:rsidRPr="00220DB6">
        <w:t>Auscott</w:t>
      </w:r>
      <w:proofErr w:type="spellEnd"/>
      <w:r w:rsidRPr="00220DB6">
        <w:t>)</w:t>
      </w:r>
    </w:p>
    <w:p w14:paraId="40534BBE" w14:textId="77777777" w:rsidR="000C40DB" w:rsidRPr="00220DB6" w:rsidRDefault="000C40DB" w:rsidP="009F018E">
      <w:pPr>
        <w:pStyle w:val="ListParagraph"/>
        <w:numPr>
          <w:ilvl w:val="0"/>
          <w:numId w:val="37"/>
        </w:numPr>
        <w:ind w:left="851" w:hanging="851"/>
      </w:pPr>
      <w:r w:rsidRPr="00220DB6">
        <w:t xml:space="preserve">Arthur </w:t>
      </w:r>
      <w:proofErr w:type="spellStart"/>
      <w:r w:rsidRPr="00220DB6">
        <w:t>Spellson</w:t>
      </w:r>
      <w:proofErr w:type="spellEnd"/>
      <w:r w:rsidRPr="00220DB6">
        <w:t xml:space="preserve"> (</w:t>
      </w:r>
      <w:proofErr w:type="spellStart"/>
      <w:r w:rsidRPr="00220DB6">
        <w:t>Auscott</w:t>
      </w:r>
      <w:proofErr w:type="spellEnd"/>
      <w:r w:rsidRPr="00220DB6">
        <w:t>)</w:t>
      </w:r>
    </w:p>
    <w:p w14:paraId="568DA14C" w14:textId="77777777" w:rsidR="000C40DB" w:rsidRPr="00220DB6" w:rsidRDefault="000C40DB" w:rsidP="009F018E">
      <w:pPr>
        <w:pStyle w:val="ListParagraph"/>
        <w:numPr>
          <w:ilvl w:val="0"/>
          <w:numId w:val="37"/>
        </w:numPr>
        <w:ind w:left="851" w:hanging="851"/>
      </w:pPr>
      <w:r w:rsidRPr="00220DB6">
        <w:t>Gabrielle O’Sullivan (Royal Price Alfred Hospital)</w:t>
      </w:r>
    </w:p>
    <w:p w14:paraId="1271C252" w14:textId="77777777" w:rsidR="000C40DB" w:rsidRPr="00220DB6" w:rsidRDefault="000C40DB" w:rsidP="009F018E">
      <w:pPr>
        <w:pStyle w:val="ListParagraph"/>
        <w:numPr>
          <w:ilvl w:val="0"/>
          <w:numId w:val="37"/>
        </w:numPr>
        <w:ind w:left="851" w:hanging="851"/>
      </w:pPr>
      <w:r w:rsidRPr="00220DB6">
        <w:t>Dan Galligan (Cotton Australia)</w:t>
      </w:r>
    </w:p>
    <w:p w14:paraId="313871DF" w14:textId="77777777" w:rsidR="000C40DB" w:rsidRPr="00220DB6" w:rsidRDefault="000C40DB" w:rsidP="009F018E">
      <w:pPr>
        <w:pStyle w:val="ListParagraph"/>
        <w:numPr>
          <w:ilvl w:val="0"/>
          <w:numId w:val="37"/>
        </w:numPr>
        <w:ind w:left="851" w:hanging="851"/>
      </w:pPr>
      <w:r w:rsidRPr="00220DB6">
        <w:t>Martin White (FFP)</w:t>
      </w:r>
    </w:p>
    <w:p w14:paraId="5D7546AF" w14:textId="77777777" w:rsidR="000C40DB" w:rsidRPr="00220DB6" w:rsidRDefault="000C40DB" w:rsidP="009F018E">
      <w:pPr>
        <w:pStyle w:val="ListParagraph"/>
        <w:numPr>
          <w:ilvl w:val="0"/>
          <w:numId w:val="37"/>
        </w:numPr>
        <w:ind w:left="851" w:hanging="851"/>
      </w:pPr>
      <w:r w:rsidRPr="00220DB6">
        <w:t>Peter Webb (</w:t>
      </w:r>
      <w:proofErr w:type="spellStart"/>
      <w:r w:rsidRPr="00220DB6">
        <w:t>Auscott</w:t>
      </w:r>
      <w:proofErr w:type="spellEnd"/>
      <w:r w:rsidRPr="00220DB6">
        <w:t xml:space="preserve">) </w:t>
      </w:r>
    </w:p>
    <w:p w14:paraId="77259D22" w14:textId="77777777" w:rsidR="000C40DB" w:rsidRPr="00220DB6" w:rsidRDefault="000C40DB" w:rsidP="009F018E">
      <w:pPr>
        <w:pStyle w:val="ListParagraph"/>
        <w:numPr>
          <w:ilvl w:val="0"/>
          <w:numId w:val="37"/>
        </w:numPr>
        <w:ind w:left="851" w:hanging="851"/>
      </w:pPr>
      <w:r w:rsidRPr="00220DB6">
        <w:t>Keith Osborne (Department of Environment and Conservation)</w:t>
      </w:r>
    </w:p>
    <w:p w14:paraId="790A2153" w14:textId="77777777" w:rsidR="000C40DB" w:rsidRPr="00220DB6" w:rsidRDefault="000C40DB" w:rsidP="009F018E">
      <w:pPr>
        <w:pStyle w:val="ListParagraph"/>
        <w:numPr>
          <w:ilvl w:val="0"/>
          <w:numId w:val="37"/>
        </w:numPr>
        <w:ind w:left="851" w:hanging="851"/>
      </w:pPr>
      <w:r w:rsidRPr="00220DB6">
        <w:t>John Chapman (Department of Environment and Conservation)</w:t>
      </w:r>
    </w:p>
    <w:p w14:paraId="14AD76A6" w14:textId="77777777" w:rsidR="000C40DB" w:rsidRPr="00220DB6" w:rsidRDefault="000C40DB" w:rsidP="009F018E">
      <w:pPr>
        <w:pStyle w:val="ListParagraph"/>
        <w:numPr>
          <w:ilvl w:val="0"/>
          <w:numId w:val="37"/>
        </w:numPr>
        <w:ind w:left="851" w:hanging="851"/>
      </w:pPr>
      <w:r w:rsidRPr="00220DB6">
        <w:t>G. Gallagher (AMPL)</w:t>
      </w:r>
    </w:p>
    <w:p w14:paraId="5DAD7DC4" w14:textId="77777777" w:rsidR="000C40DB" w:rsidRPr="00220DB6" w:rsidRDefault="000C40DB" w:rsidP="009F018E">
      <w:pPr>
        <w:pStyle w:val="ListParagraph"/>
        <w:numPr>
          <w:ilvl w:val="0"/>
          <w:numId w:val="37"/>
        </w:numPr>
        <w:ind w:left="851" w:hanging="851"/>
      </w:pPr>
      <w:r w:rsidRPr="00220DB6">
        <w:t>Scott Rice (UNSW)</w:t>
      </w:r>
    </w:p>
    <w:p w14:paraId="63BEC2A2" w14:textId="77777777" w:rsidR="000C40DB" w:rsidRPr="00220DB6" w:rsidRDefault="000C40DB" w:rsidP="009F018E">
      <w:pPr>
        <w:pStyle w:val="ListParagraph"/>
        <w:numPr>
          <w:ilvl w:val="0"/>
          <w:numId w:val="37"/>
        </w:numPr>
        <w:ind w:left="851" w:hanging="851"/>
      </w:pPr>
      <w:r w:rsidRPr="00220DB6">
        <w:t>Helen Oakey (Greenpeace)</w:t>
      </w:r>
    </w:p>
    <w:p w14:paraId="283DB96A" w14:textId="77777777" w:rsidR="000C40DB" w:rsidRPr="00220DB6" w:rsidRDefault="000C40DB" w:rsidP="009F018E">
      <w:pPr>
        <w:pStyle w:val="ListParagraph"/>
        <w:numPr>
          <w:ilvl w:val="0"/>
          <w:numId w:val="37"/>
        </w:numPr>
        <w:ind w:left="851" w:hanging="851"/>
      </w:pPr>
      <w:r w:rsidRPr="00220DB6">
        <w:t xml:space="preserve">Holly </w:t>
      </w:r>
      <w:proofErr w:type="spellStart"/>
      <w:r w:rsidRPr="00220DB6">
        <w:t>Shiach</w:t>
      </w:r>
      <w:proofErr w:type="spellEnd"/>
      <w:r w:rsidRPr="00220DB6">
        <w:t xml:space="preserve"> (Greenpeace)</w:t>
      </w:r>
    </w:p>
    <w:p w14:paraId="62FED4F2" w14:textId="77777777" w:rsidR="000C40DB" w:rsidRPr="00220DB6" w:rsidRDefault="000C40DB" w:rsidP="009F018E">
      <w:pPr>
        <w:pStyle w:val="ListParagraph"/>
        <w:numPr>
          <w:ilvl w:val="0"/>
          <w:numId w:val="37"/>
        </w:numPr>
        <w:ind w:left="851" w:hanging="851"/>
      </w:pPr>
      <w:r w:rsidRPr="00220DB6">
        <w:t xml:space="preserve">Dominika </w:t>
      </w:r>
      <w:proofErr w:type="spellStart"/>
      <w:r w:rsidRPr="00220DB6">
        <w:t>Rajenski</w:t>
      </w:r>
      <w:proofErr w:type="spellEnd"/>
      <w:r w:rsidRPr="00220DB6">
        <w:t xml:space="preserve"> (NSW Parliament)</w:t>
      </w:r>
    </w:p>
    <w:p w14:paraId="653C4604" w14:textId="77777777" w:rsidR="000C40DB" w:rsidRPr="00220DB6" w:rsidRDefault="000C40DB" w:rsidP="009F018E">
      <w:pPr>
        <w:pStyle w:val="ListParagraph"/>
        <w:numPr>
          <w:ilvl w:val="0"/>
          <w:numId w:val="37"/>
        </w:numPr>
        <w:ind w:left="851" w:hanging="851"/>
      </w:pPr>
      <w:r w:rsidRPr="00220DB6">
        <w:t>Elaine Johnson (Nature Conservation Council)</w:t>
      </w:r>
    </w:p>
    <w:p w14:paraId="5456FC31" w14:textId="77777777" w:rsidR="000C40DB" w:rsidRPr="00220DB6" w:rsidRDefault="000C40DB" w:rsidP="009F018E">
      <w:pPr>
        <w:pStyle w:val="ListParagraph"/>
        <w:numPr>
          <w:ilvl w:val="0"/>
          <w:numId w:val="37"/>
        </w:numPr>
        <w:ind w:left="851" w:hanging="851"/>
      </w:pPr>
      <w:r w:rsidRPr="00220DB6">
        <w:t>Paul Corban (NSW Democrats)</w:t>
      </w:r>
    </w:p>
    <w:p w14:paraId="2815BD7E" w14:textId="77777777" w:rsidR="000C40DB" w:rsidRPr="00220DB6" w:rsidRDefault="000C40DB" w:rsidP="009F018E">
      <w:pPr>
        <w:pStyle w:val="ListParagraph"/>
        <w:numPr>
          <w:ilvl w:val="0"/>
          <w:numId w:val="37"/>
        </w:numPr>
        <w:ind w:left="851" w:hanging="851"/>
      </w:pPr>
      <w:r w:rsidRPr="00220DB6">
        <w:t>Clare Hughes (Australian Consumers’ Association)</w:t>
      </w:r>
    </w:p>
    <w:p w14:paraId="65134E82" w14:textId="77777777" w:rsidR="000C40DB" w:rsidRPr="00220DB6" w:rsidRDefault="000C40DB" w:rsidP="009F018E">
      <w:pPr>
        <w:pStyle w:val="ListParagraph"/>
        <w:numPr>
          <w:ilvl w:val="0"/>
          <w:numId w:val="37"/>
        </w:numPr>
        <w:ind w:left="851" w:hanging="851"/>
      </w:pPr>
      <w:r w:rsidRPr="00220DB6">
        <w:t>Christopher Thomas</w:t>
      </w:r>
    </w:p>
    <w:p w14:paraId="30B7B2DC" w14:textId="77777777" w:rsidR="000C40DB" w:rsidRPr="00220DB6" w:rsidRDefault="000C40DB" w:rsidP="009F018E">
      <w:pPr>
        <w:pStyle w:val="ListParagraph"/>
        <w:numPr>
          <w:ilvl w:val="0"/>
          <w:numId w:val="37"/>
        </w:numPr>
        <w:ind w:left="851" w:hanging="851"/>
      </w:pPr>
      <w:r w:rsidRPr="00220DB6">
        <w:lastRenderedPageBreak/>
        <w:t>Rebecca Johnstone</w:t>
      </w:r>
    </w:p>
    <w:p w14:paraId="12556F67" w14:textId="77777777" w:rsidR="000C40DB" w:rsidRPr="00220DB6" w:rsidRDefault="000C40DB" w:rsidP="009F018E">
      <w:pPr>
        <w:pStyle w:val="ListParagraph"/>
        <w:numPr>
          <w:ilvl w:val="0"/>
          <w:numId w:val="37"/>
        </w:numPr>
        <w:ind w:left="851" w:hanging="851"/>
      </w:pPr>
      <w:proofErr w:type="spellStart"/>
      <w:r w:rsidRPr="00220DB6">
        <w:t>Divya</w:t>
      </w:r>
      <w:proofErr w:type="spellEnd"/>
      <w:r w:rsidRPr="00220DB6">
        <w:t xml:space="preserve"> </w:t>
      </w:r>
      <w:proofErr w:type="spellStart"/>
      <w:r w:rsidRPr="00220DB6">
        <w:t>Bjargav</w:t>
      </w:r>
      <w:proofErr w:type="spellEnd"/>
      <w:r w:rsidRPr="00220DB6">
        <w:t xml:space="preserve"> (Spine Service Kogarah)</w:t>
      </w:r>
    </w:p>
    <w:p w14:paraId="729F6ED9" w14:textId="77777777" w:rsidR="000C40DB" w:rsidRPr="00220DB6" w:rsidRDefault="000C40DB" w:rsidP="009F018E">
      <w:pPr>
        <w:pStyle w:val="ListParagraph"/>
        <w:numPr>
          <w:ilvl w:val="0"/>
          <w:numId w:val="37"/>
        </w:numPr>
        <w:ind w:left="851" w:hanging="851"/>
      </w:pPr>
      <w:r w:rsidRPr="00220DB6">
        <w:t>Scott Rose (UNSW)</w:t>
      </w:r>
    </w:p>
    <w:p w14:paraId="696C7005" w14:textId="77777777" w:rsidR="000C40DB" w:rsidRPr="00220DB6" w:rsidRDefault="000C40DB" w:rsidP="009F018E">
      <w:pPr>
        <w:pStyle w:val="ListParagraph"/>
        <w:numPr>
          <w:ilvl w:val="0"/>
          <w:numId w:val="37"/>
        </w:numPr>
        <w:ind w:left="851" w:hanging="851"/>
      </w:pPr>
      <w:r w:rsidRPr="00220DB6">
        <w:t>Kerry Russ (Wollongong University).</w:t>
      </w:r>
    </w:p>
    <w:p w14:paraId="00124CF5" w14:textId="77777777" w:rsidR="000C40DB" w:rsidRPr="000C40DB" w:rsidRDefault="000C40DB" w:rsidP="00220DB6">
      <w:pPr>
        <w:pStyle w:val="Heading3"/>
      </w:pPr>
      <w:r w:rsidRPr="000C40DB">
        <w:t>Melbourne (Victoria), Tuesday 15 November 2005</w:t>
      </w:r>
    </w:p>
    <w:p w14:paraId="591EFE03" w14:textId="77777777" w:rsidR="000C40DB" w:rsidRPr="00220DB6" w:rsidRDefault="000C40DB" w:rsidP="009F018E">
      <w:pPr>
        <w:pStyle w:val="ListParagraph"/>
        <w:numPr>
          <w:ilvl w:val="0"/>
          <w:numId w:val="38"/>
        </w:numPr>
        <w:ind w:left="851" w:hanging="851"/>
      </w:pPr>
      <w:proofErr w:type="spellStart"/>
      <w:r w:rsidRPr="00220DB6">
        <w:t>Solveiga</w:t>
      </w:r>
      <w:proofErr w:type="spellEnd"/>
      <w:r w:rsidRPr="00220DB6">
        <w:t xml:space="preserve"> Hall (Monash University)</w:t>
      </w:r>
    </w:p>
    <w:p w14:paraId="15039CF9" w14:textId="77777777" w:rsidR="000C40DB" w:rsidRPr="00220DB6" w:rsidRDefault="000C40DB" w:rsidP="009F018E">
      <w:pPr>
        <w:pStyle w:val="ListParagraph"/>
        <w:numPr>
          <w:ilvl w:val="0"/>
          <w:numId w:val="38"/>
        </w:numPr>
        <w:ind w:left="851" w:hanging="851"/>
      </w:pPr>
      <w:r w:rsidRPr="00220DB6">
        <w:t>Susan Houghton</w:t>
      </w:r>
    </w:p>
    <w:p w14:paraId="46A9C271" w14:textId="77777777" w:rsidR="000C40DB" w:rsidRPr="00220DB6" w:rsidRDefault="000C40DB" w:rsidP="009F018E">
      <w:pPr>
        <w:pStyle w:val="ListParagraph"/>
        <w:numPr>
          <w:ilvl w:val="0"/>
          <w:numId w:val="38"/>
        </w:numPr>
        <w:ind w:left="851" w:hanging="851"/>
      </w:pPr>
      <w:proofErr w:type="spellStart"/>
      <w:r w:rsidRPr="00220DB6">
        <w:t>Shena</w:t>
      </w:r>
      <w:proofErr w:type="spellEnd"/>
      <w:r w:rsidRPr="00220DB6">
        <w:t xml:space="preserve"> Jocelyn Cameron</w:t>
      </w:r>
    </w:p>
    <w:p w14:paraId="7995358D" w14:textId="77777777" w:rsidR="000C40DB" w:rsidRPr="00220DB6" w:rsidRDefault="000C40DB" w:rsidP="009F018E">
      <w:pPr>
        <w:pStyle w:val="ListParagraph"/>
        <w:numPr>
          <w:ilvl w:val="0"/>
          <w:numId w:val="38"/>
        </w:numPr>
        <w:ind w:left="851" w:hanging="851"/>
      </w:pPr>
      <w:r w:rsidRPr="00220DB6">
        <w:t>John Bonacci (Perkins Resources)</w:t>
      </w:r>
    </w:p>
    <w:p w14:paraId="6C344D85" w14:textId="77777777" w:rsidR="000C40DB" w:rsidRPr="00220DB6" w:rsidRDefault="000C40DB" w:rsidP="009F018E">
      <w:pPr>
        <w:pStyle w:val="ListParagraph"/>
        <w:numPr>
          <w:ilvl w:val="0"/>
          <w:numId w:val="38"/>
        </w:numPr>
        <w:ind w:left="851" w:hanging="851"/>
      </w:pPr>
      <w:r w:rsidRPr="00220DB6">
        <w:t>Jennifer Henry (CSIRO Publishing)</w:t>
      </w:r>
    </w:p>
    <w:p w14:paraId="2D8EC55A" w14:textId="77777777" w:rsidR="000C40DB" w:rsidRPr="00220DB6" w:rsidRDefault="000C40DB" w:rsidP="009F018E">
      <w:pPr>
        <w:pStyle w:val="ListParagraph"/>
        <w:numPr>
          <w:ilvl w:val="0"/>
          <w:numId w:val="38"/>
        </w:numPr>
        <w:ind w:left="851" w:hanging="851"/>
      </w:pPr>
      <w:r w:rsidRPr="00220DB6">
        <w:t>Lorraine Ford (Southern GE-free)</w:t>
      </w:r>
    </w:p>
    <w:p w14:paraId="5935E609" w14:textId="77777777" w:rsidR="000C40DB" w:rsidRPr="00220DB6" w:rsidRDefault="000C40DB" w:rsidP="009F018E">
      <w:pPr>
        <w:pStyle w:val="ListParagraph"/>
        <w:numPr>
          <w:ilvl w:val="0"/>
          <w:numId w:val="38"/>
        </w:numPr>
        <w:ind w:left="851" w:hanging="851"/>
      </w:pPr>
      <w:r w:rsidRPr="00220DB6">
        <w:t>Robyn Nolan (Southern GE-free)</w:t>
      </w:r>
    </w:p>
    <w:p w14:paraId="03C6C708" w14:textId="77777777" w:rsidR="000C40DB" w:rsidRPr="00220DB6" w:rsidRDefault="000C40DB" w:rsidP="009F018E">
      <w:pPr>
        <w:pStyle w:val="ListParagraph"/>
        <w:numPr>
          <w:ilvl w:val="0"/>
          <w:numId w:val="38"/>
        </w:numPr>
        <w:ind w:left="851" w:hanging="851"/>
      </w:pPr>
      <w:r w:rsidRPr="00220DB6">
        <w:t>Nancy Millis (University of Melbourne, University of La Trobe)</w:t>
      </w:r>
    </w:p>
    <w:p w14:paraId="7BCE36A0" w14:textId="77777777" w:rsidR="000C40DB" w:rsidRPr="00220DB6" w:rsidRDefault="000C40DB" w:rsidP="009F018E">
      <w:pPr>
        <w:pStyle w:val="ListParagraph"/>
        <w:numPr>
          <w:ilvl w:val="0"/>
          <w:numId w:val="38"/>
        </w:numPr>
        <w:ind w:left="851" w:hanging="851"/>
      </w:pPr>
      <w:r w:rsidRPr="00220DB6">
        <w:t>Dorothy Pottage (Gene Ethics, South GE Free)</w:t>
      </w:r>
    </w:p>
    <w:p w14:paraId="31128539" w14:textId="77777777" w:rsidR="000C40DB" w:rsidRPr="00220DB6" w:rsidRDefault="000C40DB" w:rsidP="009F018E">
      <w:pPr>
        <w:pStyle w:val="ListParagraph"/>
        <w:numPr>
          <w:ilvl w:val="0"/>
          <w:numId w:val="38"/>
        </w:numPr>
        <w:ind w:left="851" w:hanging="851"/>
      </w:pPr>
      <w:r w:rsidRPr="00220DB6">
        <w:t>Paul Taylor (University of Melbourne)</w:t>
      </w:r>
    </w:p>
    <w:p w14:paraId="2E8DA12B" w14:textId="77777777" w:rsidR="000C40DB" w:rsidRPr="00220DB6" w:rsidRDefault="000C40DB" w:rsidP="009F018E">
      <w:pPr>
        <w:pStyle w:val="ListParagraph"/>
        <w:numPr>
          <w:ilvl w:val="0"/>
          <w:numId w:val="38"/>
        </w:numPr>
        <w:ind w:left="851" w:hanging="851"/>
      </w:pPr>
      <w:r w:rsidRPr="00220DB6">
        <w:t>Brendan Crabb (WEHI)</w:t>
      </w:r>
    </w:p>
    <w:p w14:paraId="0A6CB0B6" w14:textId="77777777" w:rsidR="000C40DB" w:rsidRPr="00220DB6" w:rsidRDefault="000C40DB" w:rsidP="009F018E">
      <w:pPr>
        <w:pStyle w:val="ListParagraph"/>
        <w:numPr>
          <w:ilvl w:val="0"/>
          <w:numId w:val="38"/>
        </w:numPr>
        <w:ind w:left="851" w:hanging="851"/>
      </w:pPr>
      <w:r w:rsidRPr="00220DB6">
        <w:t>Bill Heath (WEHI)</w:t>
      </w:r>
    </w:p>
    <w:p w14:paraId="06C3F18A" w14:textId="77777777" w:rsidR="000C40DB" w:rsidRPr="00220DB6" w:rsidRDefault="000C40DB" w:rsidP="009F018E">
      <w:pPr>
        <w:pStyle w:val="ListParagraph"/>
        <w:numPr>
          <w:ilvl w:val="0"/>
          <w:numId w:val="38"/>
        </w:numPr>
        <w:ind w:left="851" w:hanging="851"/>
      </w:pPr>
      <w:r w:rsidRPr="00220DB6">
        <w:t>Helene Martin (WEHI)</w:t>
      </w:r>
    </w:p>
    <w:p w14:paraId="2615F02F" w14:textId="77777777" w:rsidR="000C40DB" w:rsidRPr="00220DB6" w:rsidRDefault="000C40DB" w:rsidP="009F018E">
      <w:pPr>
        <w:pStyle w:val="ListParagraph"/>
        <w:numPr>
          <w:ilvl w:val="0"/>
          <w:numId w:val="38"/>
        </w:numPr>
        <w:ind w:left="851" w:hanging="851"/>
      </w:pPr>
      <w:r w:rsidRPr="00220DB6">
        <w:t>Wendy Carter (WEHI)</w:t>
      </w:r>
    </w:p>
    <w:p w14:paraId="32AC05A1" w14:textId="77777777" w:rsidR="000C40DB" w:rsidRPr="00220DB6" w:rsidRDefault="000C40DB" w:rsidP="009F018E">
      <w:pPr>
        <w:pStyle w:val="ListParagraph"/>
        <w:numPr>
          <w:ilvl w:val="0"/>
          <w:numId w:val="38"/>
        </w:numPr>
        <w:ind w:left="851" w:hanging="851"/>
      </w:pPr>
      <w:r w:rsidRPr="00220DB6">
        <w:t>Louise Sales (Greenpeace Local Group)</w:t>
      </w:r>
    </w:p>
    <w:p w14:paraId="0C60C111" w14:textId="77777777" w:rsidR="000C40DB" w:rsidRPr="00220DB6" w:rsidRDefault="000C40DB" w:rsidP="009F018E">
      <w:pPr>
        <w:pStyle w:val="ListParagraph"/>
        <w:numPr>
          <w:ilvl w:val="0"/>
          <w:numId w:val="38"/>
        </w:numPr>
        <w:ind w:left="851" w:hanging="851"/>
      </w:pPr>
      <w:proofErr w:type="spellStart"/>
      <w:r w:rsidRPr="00220DB6">
        <w:t>Tes</w:t>
      </w:r>
      <w:proofErr w:type="spellEnd"/>
      <w:r w:rsidRPr="00220DB6">
        <w:t xml:space="preserve"> </w:t>
      </w:r>
      <w:proofErr w:type="spellStart"/>
      <w:r w:rsidRPr="00220DB6">
        <w:t>Toop</w:t>
      </w:r>
      <w:proofErr w:type="spellEnd"/>
      <w:r w:rsidRPr="00220DB6">
        <w:t xml:space="preserve"> (Deakin University)</w:t>
      </w:r>
    </w:p>
    <w:p w14:paraId="76DB58E7" w14:textId="77777777" w:rsidR="000C40DB" w:rsidRPr="00220DB6" w:rsidRDefault="000C40DB" w:rsidP="009F018E">
      <w:pPr>
        <w:pStyle w:val="ListParagraph"/>
        <w:numPr>
          <w:ilvl w:val="0"/>
          <w:numId w:val="38"/>
        </w:numPr>
        <w:ind w:left="851" w:hanging="851"/>
      </w:pPr>
      <w:r w:rsidRPr="00220DB6">
        <w:t xml:space="preserve">Naomi Stevens (Bayer </w:t>
      </w:r>
      <w:proofErr w:type="spellStart"/>
      <w:r w:rsidRPr="00220DB6">
        <w:t>CropScience</w:t>
      </w:r>
      <w:proofErr w:type="spellEnd"/>
      <w:r w:rsidRPr="00220DB6">
        <w:t>)</w:t>
      </w:r>
    </w:p>
    <w:p w14:paraId="57EE8ACE" w14:textId="77777777" w:rsidR="00584460" w:rsidRPr="00220DB6" w:rsidRDefault="000C40DB" w:rsidP="009F018E">
      <w:pPr>
        <w:pStyle w:val="ListParagraph"/>
        <w:numPr>
          <w:ilvl w:val="0"/>
          <w:numId w:val="38"/>
        </w:numPr>
        <w:ind w:left="851" w:hanging="851"/>
      </w:pPr>
      <w:r w:rsidRPr="00220DB6">
        <w:t xml:space="preserve">Susie O’Neill (Bayer </w:t>
      </w:r>
      <w:proofErr w:type="spellStart"/>
      <w:r w:rsidRPr="00220DB6">
        <w:t>CropScience</w:t>
      </w:r>
      <w:proofErr w:type="spellEnd"/>
      <w:r w:rsidRPr="00220DB6">
        <w:t>)</w:t>
      </w:r>
      <w:r w:rsidR="00584460" w:rsidRPr="00220DB6">
        <w:t xml:space="preserve"> </w:t>
      </w:r>
    </w:p>
    <w:p w14:paraId="754FE875" w14:textId="77777777" w:rsidR="000C40DB" w:rsidRPr="00220DB6" w:rsidRDefault="000C40DB" w:rsidP="009F018E">
      <w:pPr>
        <w:pStyle w:val="ListParagraph"/>
        <w:numPr>
          <w:ilvl w:val="0"/>
          <w:numId w:val="38"/>
        </w:numPr>
        <w:ind w:left="851" w:hanging="851"/>
      </w:pPr>
      <w:r w:rsidRPr="00220DB6">
        <w:t xml:space="preserve">Kay Khoo (Bayer </w:t>
      </w:r>
      <w:proofErr w:type="spellStart"/>
      <w:r w:rsidRPr="00220DB6">
        <w:t>CropScience</w:t>
      </w:r>
      <w:proofErr w:type="spellEnd"/>
      <w:r w:rsidRPr="00220DB6">
        <w:t>)</w:t>
      </w:r>
    </w:p>
    <w:p w14:paraId="1595D8BA" w14:textId="77777777" w:rsidR="000C40DB" w:rsidRPr="00220DB6" w:rsidRDefault="000C40DB" w:rsidP="009F018E">
      <w:pPr>
        <w:pStyle w:val="ListParagraph"/>
        <w:numPr>
          <w:ilvl w:val="0"/>
          <w:numId w:val="38"/>
        </w:numPr>
        <w:ind w:left="851" w:hanging="851"/>
      </w:pPr>
      <w:r w:rsidRPr="00220DB6">
        <w:t xml:space="preserve">Anita </w:t>
      </w:r>
      <w:proofErr w:type="spellStart"/>
      <w:r w:rsidRPr="00220DB6">
        <w:t>Hirschorn</w:t>
      </w:r>
      <w:proofErr w:type="spellEnd"/>
      <w:r w:rsidRPr="00220DB6">
        <w:t xml:space="preserve"> (</w:t>
      </w:r>
      <w:proofErr w:type="spellStart"/>
      <w:r w:rsidRPr="00220DB6">
        <w:t>AusBiotech</w:t>
      </w:r>
      <w:proofErr w:type="spellEnd"/>
      <w:r w:rsidRPr="00220DB6">
        <w:t>)</w:t>
      </w:r>
    </w:p>
    <w:p w14:paraId="30A813BD" w14:textId="77777777" w:rsidR="00584460" w:rsidRPr="00220DB6" w:rsidRDefault="000C40DB" w:rsidP="009F018E">
      <w:pPr>
        <w:pStyle w:val="ListParagraph"/>
        <w:numPr>
          <w:ilvl w:val="0"/>
          <w:numId w:val="38"/>
        </w:numPr>
        <w:ind w:left="851" w:hanging="851"/>
      </w:pPr>
      <w:r w:rsidRPr="00220DB6">
        <w:t xml:space="preserve">Linda </w:t>
      </w:r>
      <w:proofErr w:type="spellStart"/>
      <w:r w:rsidRPr="00220DB6">
        <w:t>Leefe</w:t>
      </w:r>
      <w:proofErr w:type="spellEnd"/>
      <w:r w:rsidRPr="00220DB6">
        <w:t xml:space="preserve"> (</w:t>
      </w:r>
      <w:proofErr w:type="spellStart"/>
      <w:r w:rsidRPr="00220DB6">
        <w:t>Scalzo</w:t>
      </w:r>
      <w:proofErr w:type="spellEnd"/>
      <w:r w:rsidRPr="00220DB6">
        <w:t xml:space="preserve"> Food Industries)</w:t>
      </w:r>
    </w:p>
    <w:p w14:paraId="3B0A0E08" w14:textId="77777777" w:rsidR="00584460" w:rsidRPr="00220DB6" w:rsidRDefault="00584460" w:rsidP="009F018E">
      <w:pPr>
        <w:pStyle w:val="ListParagraph"/>
        <w:numPr>
          <w:ilvl w:val="0"/>
          <w:numId w:val="38"/>
        </w:numPr>
        <w:ind w:left="851" w:hanging="851"/>
      </w:pPr>
      <w:r w:rsidRPr="00220DB6">
        <w:t xml:space="preserve">Sandra </w:t>
      </w:r>
      <w:proofErr w:type="spellStart"/>
      <w:r w:rsidRPr="00220DB6">
        <w:t>Neri</w:t>
      </w:r>
      <w:proofErr w:type="spellEnd"/>
      <w:r w:rsidRPr="00220DB6">
        <w:t xml:space="preserve"> (</w:t>
      </w:r>
      <w:proofErr w:type="spellStart"/>
      <w:r w:rsidRPr="00220DB6">
        <w:t>Scalzo</w:t>
      </w:r>
      <w:proofErr w:type="spellEnd"/>
      <w:r w:rsidRPr="00220DB6">
        <w:t xml:space="preserve"> Food Industries)</w:t>
      </w:r>
    </w:p>
    <w:p w14:paraId="0BC9109E" w14:textId="77777777" w:rsidR="00584460" w:rsidRPr="00220DB6" w:rsidRDefault="00584460" w:rsidP="009F018E">
      <w:pPr>
        <w:pStyle w:val="ListParagraph"/>
        <w:numPr>
          <w:ilvl w:val="0"/>
          <w:numId w:val="38"/>
        </w:numPr>
        <w:ind w:left="851" w:hanging="851"/>
      </w:pPr>
      <w:r w:rsidRPr="00220DB6">
        <w:t xml:space="preserve">Michelle </w:t>
      </w:r>
      <w:proofErr w:type="spellStart"/>
      <w:r w:rsidRPr="00220DB6">
        <w:t>McCard</w:t>
      </w:r>
      <w:proofErr w:type="spellEnd"/>
      <w:r w:rsidRPr="00220DB6">
        <w:t xml:space="preserve"> (Peter MacCallum Cancer Centre)</w:t>
      </w:r>
    </w:p>
    <w:p w14:paraId="3B8F2A5B" w14:textId="77777777" w:rsidR="00584460" w:rsidRPr="00220DB6" w:rsidRDefault="00584460" w:rsidP="009F018E">
      <w:pPr>
        <w:pStyle w:val="ListParagraph"/>
        <w:numPr>
          <w:ilvl w:val="0"/>
          <w:numId w:val="38"/>
        </w:numPr>
        <w:ind w:left="851" w:hanging="851"/>
      </w:pPr>
      <w:r w:rsidRPr="00220DB6">
        <w:t>Bob Phelps (Gene Ethics)</w:t>
      </w:r>
    </w:p>
    <w:p w14:paraId="7E58BE4B" w14:textId="77777777" w:rsidR="00584460" w:rsidRPr="00220DB6" w:rsidRDefault="00584460" w:rsidP="009F018E">
      <w:pPr>
        <w:pStyle w:val="ListParagraph"/>
        <w:numPr>
          <w:ilvl w:val="0"/>
          <w:numId w:val="38"/>
        </w:numPr>
        <w:ind w:left="851" w:hanging="851"/>
      </w:pPr>
      <w:r w:rsidRPr="00220DB6">
        <w:t>Mark Buckingham (Monsanto)</w:t>
      </w:r>
    </w:p>
    <w:p w14:paraId="2D895043" w14:textId="77777777" w:rsidR="00584460" w:rsidRPr="00220DB6" w:rsidRDefault="00584460" w:rsidP="009F018E">
      <w:pPr>
        <w:pStyle w:val="ListParagraph"/>
        <w:numPr>
          <w:ilvl w:val="0"/>
          <w:numId w:val="38"/>
        </w:numPr>
        <w:ind w:left="851" w:hanging="851"/>
      </w:pPr>
      <w:r w:rsidRPr="00220DB6">
        <w:t>Anna Hurst (Monsanto)</w:t>
      </w:r>
    </w:p>
    <w:p w14:paraId="07D8EE7D" w14:textId="77777777" w:rsidR="00584460" w:rsidRPr="00220DB6" w:rsidRDefault="00584460" w:rsidP="009F018E">
      <w:pPr>
        <w:pStyle w:val="ListParagraph"/>
        <w:numPr>
          <w:ilvl w:val="0"/>
          <w:numId w:val="38"/>
        </w:numPr>
        <w:ind w:left="851" w:hanging="851"/>
      </w:pPr>
      <w:r w:rsidRPr="00220DB6">
        <w:t>Andrea Lines (Monash University)</w:t>
      </w:r>
    </w:p>
    <w:p w14:paraId="2841E437" w14:textId="77777777" w:rsidR="00584460" w:rsidRPr="00220DB6" w:rsidRDefault="00584460" w:rsidP="009F018E">
      <w:pPr>
        <w:pStyle w:val="ListParagraph"/>
        <w:numPr>
          <w:ilvl w:val="0"/>
          <w:numId w:val="38"/>
        </w:numPr>
        <w:ind w:left="851" w:hanging="851"/>
      </w:pPr>
      <w:r w:rsidRPr="00220DB6">
        <w:t xml:space="preserve">Ellen </w:t>
      </w:r>
      <w:proofErr w:type="spellStart"/>
      <w:r w:rsidRPr="00220DB6">
        <w:t>Kittson</w:t>
      </w:r>
      <w:proofErr w:type="spellEnd"/>
      <w:r w:rsidRPr="00220DB6">
        <w:t xml:space="preserve"> (Victorian Dept of Human Services)</w:t>
      </w:r>
    </w:p>
    <w:p w14:paraId="02DCCB4E" w14:textId="77777777" w:rsidR="00584460" w:rsidRPr="00220DB6" w:rsidRDefault="00584460" w:rsidP="009F018E">
      <w:pPr>
        <w:pStyle w:val="ListParagraph"/>
        <w:numPr>
          <w:ilvl w:val="0"/>
          <w:numId w:val="38"/>
        </w:numPr>
        <w:ind w:left="851" w:hanging="851"/>
      </w:pPr>
      <w:r w:rsidRPr="00220DB6">
        <w:t>Fran Murrell</w:t>
      </w:r>
    </w:p>
    <w:p w14:paraId="6B702116" w14:textId="77777777" w:rsidR="00584460" w:rsidRPr="00220DB6" w:rsidRDefault="00584460" w:rsidP="009F018E">
      <w:pPr>
        <w:pStyle w:val="ListParagraph"/>
        <w:numPr>
          <w:ilvl w:val="0"/>
          <w:numId w:val="38"/>
        </w:numPr>
        <w:ind w:left="851" w:hanging="851"/>
      </w:pPr>
      <w:r w:rsidRPr="00220DB6">
        <w:t>Merna Curnow</w:t>
      </w:r>
    </w:p>
    <w:p w14:paraId="47B23A36" w14:textId="77777777" w:rsidR="00584460" w:rsidRPr="00220DB6" w:rsidRDefault="00584460" w:rsidP="009F018E">
      <w:pPr>
        <w:pStyle w:val="ListParagraph"/>
        <w:numPr>
          <w:ilvl w:val="0"/>
          <w:numId w:val="38"/>
        </w:numPr>
        <w:ind w:left="851" w:hanging="851"/>
      </w:pPr>
      <w:r w:rsidRPr="00220DB6">
        <w:t>Robyn Male</w:t>
      </w:r>
    </w:p>
    <w:p w14:paraId="1B7005B5" w14:textId="3CDABDB5" w:rsidR="00584460" w:rsidRPr="00584460" w:rsidRDefault="00584460" w:rsidP="00220DB6">
      <w:pPr>
        <w:pStyle w:val="Heading3"/>
      </w:pPr>
      <w:r w:rsidRPr="00584460">
        <w:t>Horsham (Victoria), Wednesday 16 November 2005</w:t>
      </w:r>
    </w:p>
    <w:p w14:paraId="5CE00D75" w14:textId="5CF272F9" w:rsidR="00584460" w:rsidRPr="00220DB6" w:rsidRDefault="00584460" w:rsidP="009F018E">
      <w:pPr>
        <w:pStyle w:val="ListParagraph"/>
        <w:numPr>
          <w:ilvl w:val="1"/>
          <w:numId w:val="25"/>
        </w:numPr>
        <w:ind w:left="851" w:hanging="851"/>
      </w:pPr>
      <w:r w:rsidRPr="00220DB6">
        <w:t xml:space="preserve">David Pike (Bayer </w:t>
      </w:r>
      <w:proofErr w:type="spellStart"/>
      <w:r w:rsidRPr="00220DB6">
        <w:t>CropScience</w:t>
      </w:r>
      <w:proofErr w:type="spellEnd"/>
      <w:r w:rsidRPr="00220DB6">
        <w:t>)</w:t>
      </w:r>
    </w:p>
    <w:p w14:paraId="1A711AF9" w14:textId="7D984078" w:rsidR="00584460" w:rsidRPr="00220DB6" w:rsidRDefault="00584460" w:rsidP="009F018E">
      <w:pPr>
        <w:pStyle w:val="ListParagraph"/>
        <w:numPr>
          <w:ilvl w:val="1"/>
          <w:numId w:val="25"/>
        </w:numPr>
        <w:ind w:left="851" w:hanging="851"/>
      </w:pPr>
      <w:r w:rsidRPr="00220DB6">
        <w:t xml:space="preserve">Kay Khoo (Bayer </w:t>
      </w:r>
      <w:proofErr w:type="spellStart"/>
      <w:r w:rsidRPr="00220DB6">
        <w:t>CropScience</w:t>
      </w:r>
      <w:proofErr w:type="spellEnd"/>
      <w:r w:rsidRPr="00220DB6">
        <w:t>)</w:t>
      </w:r>
    </w:p>
    <w:p w14:paraId="0024714B" w14:textId="42FA589C" w:rsidR="00584460" w:rsidRPr="00220DB6" w:rsidRDefault="00584460" w:rsidP="009F018E">
      <w:pPr>
        <w:pStyle w:val="ListParagraph"/>
        <w:numPr>
          <w:ilvl w:val="1"/>
          <w:numId w:val="25"/>
        </w:numPr>
        <w:ind w:left="851" w:hanging="851"/>
      </w:pPr>
      <w:r w:rsidRPr="00220DB6">
        <w:t xml:space="preserve">Greg </w:t>
      </w:r>
      <w:proofErr w:type="spellStart"/>
      <w:r w:rsidRPr="00220DB6">
        <w:t>Petrass</w:t>
      </w:r>
      <w:proofErr w:type="spellEnd"/>
      <w:r w:rsidRPr="00220DB6">
        <w:t xml:space="preserve"> (Farmer)</w:t>
      </w:r>
    </w:p>
    <w:p w14:paraId="111AEB84" w14:textId="7D88400A" w:rsidR="00584460" w:rsidRPr="00220DB6" w:rsidRDefault="00584460" w:rsidP="009F018E">
      <w:pPr>
        <w:pStyle w:val="ListParagraph"/>
        <w:numPr>
          <w:ilvl w:val="1"/>
          <w:numId w:val="25"/>
        </w:numPr>
        <w:ind w:left="851" w:hanging="851"/>
      </w:pPr>
      <w:r w:rsidRPr="00220DB6">
        <w:t>Keith White</w:t>
      </w:r>
    </w:p>
    <w:p w14:paraId="50C9F34E" w14:textId="2FB849E7" w:rsidR="00584460" w:rsidRPr="00220DB6" w:rsidRDefault="00584460" w:rsidP="009F018E">
      <w:pPr>
        <w:pStyle w:val="ListParagraph"/>
        <w:numPr>
          <w:ilvl w:val="1"/>
          <w:numId w:val="25"/>
        </w:numPr>
        <w:ind w:left="851" w:hanging="851"/>
      </w:pPr>
      <w:r w:rsidRPr="00220DB6">
        <w:t xml:space="preserve">Geoff </w:t>
      </w:r>
      <w:proofErr w:type="spellStart"/>
      <w:r w:rsidRPr="00220DB6">
        <w:t>Rethus</w:t>
      </w:r>
      <w:proofErr w:type="spellEnd"/>
      <w:r w:rsidRPr="00220DB6">
        <w:t xml:space="preserve"> (Farmer)</w:t>
      </w:r>
    </w:p>
    <w:p w14:paraId="6E87E310" w14:textId="18FFB2F7" w:rsidR="00584460" w:rsidRPr="00220DB6" w:rsidRDefault="00584460" w:rsidP="009F018E">
      <w:pPr>
        <w:pStyle w:val="ListParagraph"/>
        <w:numPr>
          <w:ilvl w:val="1"/>
          <w:numId w:val="25"/>
        </w:numPr>
        <w:ind w:left="851" w:hanging="851"/>
      </w:pPr>
      <w:r w:rsidRPr="00220DB6">
        <w:t xml:space="preserve">Chris </w:t>
      </w:r>
      <w:proofErr w:type="spellStart"/>
      <w:r w:rsidRPr="00220DB6">
        <w:t>Cocklin</w:t>
      </w:r>
      <w:proofErr w:type="spellEnd"/>
      <w:r w:rsidRPr="00220DB6">
        <w:t xml:space="preserve"> (Monash University)</w:t>
      </w:r>
    </w:p>
    <w:p w14:paraId="6E1EC629" w14:textId="2BCB4FC8" w:rsidR="00584460" w:rsidRPr="00220DB6" w:rsidRDefault="00584460" w:rsidP="009F018E">
      <w:pPr>
        <w:pStyle w:val="ListParagraph"/>
        <w:numPr>
          <w:ilvl w:val="1"/>
          <w:numId w:val="25"/>
        </w:numPr>
        <w:ind w:left="851" w:hanging="851"/>
      </w:pPr>
      <w:r w:rsidRPr="00220DB6">
        <w:t xml:space="preserve">Jacqui </w:t>
      </w:r>
      <w:proofErr w:type="spellStart"/>
      <w:r w:rsidRPr="00220DB6">
        <w:t>Bibden</w:t>
      </w:r>
      <w:proofErr w:type="spellEnd"/>
      <w:r w:rsidRPr="00220DB6">
        <w:t xml:space="preserve"> (Monash University)</w:t>
      </w:r>
    </w:p>
    <w:p w14:paraId="2DA4FBB8" w14:textId="36C64412" w:rsidR="00584460" w:rsidRPr="00220DB6" w:rsidRDefault="00584460" w:rsidP="009F018E">
      <w:pPr>
        <w:pStyle w:val="ListParagraph"/>
        <w:numPr>
          <w:ilvl w:val="1"/>
          <w:numId w:val="25"/>
        </w:numPr>
        <w:ind w:left="851" w:hanging="851"/>
      </w:pPr>
      <w:r w:rsidRPr="00220DB6">
        <w:t xml:space="preserve">Mark </w:t>
      </w:r>
      <w:proofErr w:type="spellStart"/>
      <w:r w:rsidRPr="00220DB6">
        <w:t>Johas</w:t>
      </w:r>
      <w:proofErr w:type="spellEnd"/>
      <w:r w:rsidRPr="00220DB6">
        <w:t xml:space="preserve"> (Farmer)</w:t>
      </w:r>
    </w:p>
    <w:p w14:paraId="2D59A02E" w14:textId="74A15C79" w:rsidR="00584460" w:rsidRPr="00220DB6" w:rsidRDefault="00584460" w:rsidP="009F018E">
      <w:pPr>
        <w:pStyle w:val="ListParagraph"/>
        <w:numPr>
          <w:ilvl w:val="1"/>
          <w:numId w:val="25"/>
        </w:numPr>
        <w:ind w:left="851" w:hanging="851"/>
      </w:pPr>
      <w:r w:rsidRPr="00220DB6">
        <w:t xml:space="preserve">Geoffrey </w:t>
      </w:r>
      <w:proofErr w:type="spellStart"/>
      <w:r w:rsidRPr="00220DB6">
        <w:t>Carracher</w:t>
      </w:r>
      <w:proofErr w:type="spellEnd"/>
      <w:r w:rsidRPr="00220DB6">
        <w:t xml:space="preserve"> (Network of Concerned Farmers)</w:t>
      </w:r>
    </w:p>
    <w:p w14:paraId="6262D27C" w14:textId="3E9849D1" w:rsidR="00584460" w:rsidRPr="00220DB6" w:rsidRDefault="00584460" w:rsidP="009F018E">
      <w:pPr>
        <w:pStyle w:val="ListParagraph"/>
        <w:numPr>
          <w:ilvl w:val="1"/>
          <w:numId w:val="25"/>
        </w:numPr>
        <w:ind w:left="851" w:hanging="851"/>
      </w:pPr>
      <w:r w:rsidRPr="00220DB6">
        <w:lastRenderedPageBreak/>
        <w:t>John Chambers (Farmer)</w:t>
      </w:r>
    </w:p>
    <w:p w14:paraId="0431CDB8" w14:textId="74AD6EF2" w:rsidR="00584460" w:rsidRPr="00220DB6" w:rsidRDefault="00584460" w:rsidP="009F018E">
      <w:pPr>
        <w:pStyle w:val="ListParagraph"/>
        <w:numPr>
          <w:ilvl w:val="1"/>
          <w:numId w:val="25"/>
        </w:numPr>
        <w:ind w:left="851" w:hanging="851"/>
      </w:pPr>
      <w:r w:rsidRPr="00220DB6">
        <w:t>Mona Rule</w:t>
      </w:r>
    </w:p>
    <w:p w14:paraId="05ADCA30" w14:textId="31EBD95F" w:rsidR="00584460" w:rsidRPr="00220DB6" w:rsidRDefault="00584460" w:rsidP="009F018E">
      <w:pPr>
        <w:pStyle w:val="ListParagraph"/>
        <w:numPr>
          <w:ilvl w:val="1"/>
          <w:numId w:val="25"/>
        </w:numPr>
        <w:ind w:left="851" w:hanging="851"/>
      </w:pPr>
      <w:r w:rsidRPr="00220DB6">
        <w:t>Chris Kelly (Producers’ Forum)</w:t>
      </w:r>
    </w:p>
    <w:p w14:paraId="77324BB5" w14:textId="706C7E25" w:rsidR="00584460" w:rsidRPr="00220DB6" w:rsidRDefault="00584460" w:rsidP="009F018E">
      <w:pPr>
        <w:pStyle w:val="ListParagraph"/>
        <w:numPr>
          <w:ilvl w:val="1"/>
          <w:numId w:val="25"/>
        </w:numPr>
        <w:ind w:left="851" w:hanging="851"/>
      </w:pPr>
      <w:r w:rsidRPr="00220DB6">
        <w:t>Scott Kinnear (BFA)</w:t>
      </w:r>
    </w:p>
    <w:p w14:paraId="5F8F4867" w14:textId="25CB2AEB" w:rsidR="00584460" w:rsidRPr="00220DB6" w:rsidRDefault="00584460" w:rsidP="009F018E">
      <w:pPr>
        <w:pStyle w:val="ListParagraph"/>
        <w:numPr>
          <w:ilvl w:val="1"/>
          <w:numId w:val="25"/>
        </w:numPr>
        <w:ind w:left="851" w:hanging="851"/>
      </w:pPr>
      <w:r w:rsidRPr="00220DB6">
        <w:t>Bob Mackey</w:t>
      </w:r>
    </w:p>
    <w:p w14:paraId="16D975C1" w14:textId="51E752BA" w:rsidR="00584460" w:rsidRPr="00220DB6" w:rsidRDefault="00584460" w:rsidP="009F018E">
      <w:pPr>
        <w:pStyle w:val="ListParagraph"/>
        <w:numPr>
          <w:ilvl w:val="1"/>
          <w:numId w:val="25"/>
        </w:numPr>
        <w:ind w:left="851" w:hanging="851"/>
      </w:pPr>
      <w:r w:rsidRPr="00220DB6">
        <w:t xml:space="preserve">S. O’Neil (Bayer </w:t>
      </w:r>
      <w:proofErr w:type="spellStart"/>
      <w:r w:rsidRPr="00220DB6">
        <w:t>Cropscience</w:t>
      </w:r>
      <w:proofErr w:type="spellEnd"/>
      <w:r w:rsidRPr="00220DB6">
        <w:t>)</w:t>
      </w:r>
    </w:p>
    <w:p w14:paraId="2F873AE4" w14:textId="431E7E9E" w:rsidR="00584460" w:rsidRPr="00220DB6" w:rsidRDefault="00584460" w:rsidP="009F018E">
      <w:pPr>
        <w:pStyle w:val="ListParagraph"/>
        <w:numPr>
          <w:ilvl w:val="1"/>
          <w:numId w:val="25"/>
        </w:numPr>
        <w:ind w:left="851" w:hanging="851"/>
      </w:pPr>
      <w:r w:rsidRPr="00220DB6">
        <w:t xml:space="preserve">Andrew </w:t>
      </w:r>
      <w:proofErr w:type="spellStart"/>
      <w:r w:rsidRPr="00220DB6">
        <w:t>Weidemann</w:t>
      </w:r>
      <w:proofErr w:type="spellEnd"/>
      <w:r w:rsidRPr="00220DB6">
        <w:t xml:space="preserve"> (VFF/BCG)</w:t>
      </w:r>
    </w:p>
    <w:p w14:paraId="71EB0522" w14:textId="2B8F9A06" w:rsidR="00584460" w:rsidRPr="00220DB6" w:rsidRDefault="00584460" w:rsidP="009F018E">
      <w:pPr>
        <w:pStyle w:val="ListParagraph"/>
        <w:numPr>
          <w:ilvl w:val="1"/>
          <w:numId w:val="25"/>
        </w:numPr>
        <w:ind w:left="851" w:hanging="851"/>
      </w:pPr>
      <w:r w:rsidRPr="00220DB6">
        <w:t>Eugene Duffy</w:t>
      </w:r>
    </w:p>
    <w:p w14:paraId="6030CE0E" w14:textId="57ABCDE1" w:rsidR="00584460" w:rsidRPr="00220DB6" w:rsidRDefault="00584460" w:rsidP="009F018E">
      <w:pPr>
        <w:pStyle w:val="ListParagraph"/>
        <w:numPr>
          <w:ilvl w:val="1"/>
          <w:numId w:val="25"/>
        </w:numPr>
        <w:ind w:left="851" w:hanging="851"/>
      </w:pPr>
      <w:r w:rsidRPr="00220DB6">
        <w:t>David Fletcher</w:t>
      </w:r>
    </w:p>
    <w:p w14:paraId="4B5DCDB8" w14:textId="1E4A1410" w:rsidR="00584460" w:rsidRPr="00220DB6" w:rsidRDefault="00584460" w:rsidP="009F018E">
      <w:pPr>
        <w:pStyle w:val="ListParagraph"/>
        <w:numPr>
          <w:ilvl w:val="1"/>
          <w:numId w:val="25"/>
        </w:numPr>
        <w:ind w:left="851" w:hanging="851"/>
      </w:pPr>
      <w:r w:rsidRPr="00220DB6">
        <w:t>Angela Munn</w:t>
      </w:r>
    </w:p>
    <w:p w14:paraId="68A9F57E" w14:textId="45CA7E64" w:rsidR="00584460" w:rsidRPr="00220DB6" w:rsidRDefault="00584460" w:rsidP="009F018E">
      <w:pPr>
        <w:pStyle w:val="ListParagraph"/>
        <w:numPr>
          <w:ilvl w:val="1"/>
          <w:numId w:val="25"/>
        </w:numPr>
        <w:ind w:left="851" w:hanging="851"/>
      </w:pPr>
      <w:r w:rsidRPr="00220DB6">
        <w:t>Louise Stanley (Producers Forum)</w:t>
      </w:r>
    </w:p>
    <w:p w14:paraId="5B3BC0F5" w14:textId="7129EDF9" w:rsidR="00584460" w:rsidRPr="00220DB6" w:rsidRDefault="00584460" w:rsidP="009F018E">
      <w:pPr>
        <w:pStyle w:val="ListParagraph"/>
        <w:numPr>
          <w:ilvl w:val="1"/>
          <w:numId w:val="25"/>
        </w:numPr>
        <w:ind w:left="851" w:hanging="851"/>
      </w:pPr>
      <w:r w:rsidRPr="00220DB6">
        <w:t xml:space="preserve">Ellen </w:t>
      </w:r>
      <w:proofErr w:type="spellStart"/>
      <w:r w:rsidRPr="00220DB6">
        <w:t>Kittson</w:t>
      </w:r>
      <w:proofErr w:type="spellEnd"/>
      <w:r w:rsidRPr="00220DB6">
        <w:t xml:space="preserve"> (DHS)</w:t>
      </w:r>
    </w:p>
    <w:p w14:paraId="1E665D35" w14:textId="6DCF5B69" w:rsidR="00584460" w:rsidRPr="00220DB6" w:rsidRDefault="00584460" w:rsidP="009F018E">
      <w:pPr>
        <w:pStyle w:val="ListParagraph"/>
        <w:numPr>
          <w:ilvl w:val="1"/>
          <w:numId w:val="25"/>
        </w:numPr>
        <w:ind w:left="851" w:hanging="851"/>
      </w:pPr>
      <w:r w:rsidRPr="00220DB6">
        <w:t xml:space="preserve">Peter </w:t>
      </w:r>
      <w:proofErr w:type="spellStart"/>
      <w:r w:rsidRPr="00220DB6">
        <w:t>Carr</w:t>
      </w:r>
      <w:proofErr w:type="spellEnd"/>
      <w:r w:rsidRPr="00220DB6">
        <w:t xml:space="preserve"> (Dept Primary Industries)</w:t>
      </w:r>
    </w:p>
    <w:p w14:paraId="58128ACD" w14:textId="77777777" w:rsidR="00584460" w:rsidRPr="00496E45" w:rsidRDefault="00584460" w:rsidP="00220DB6">
      <w:pPr>
        <w:pStyle w:val="Heading3"/>
      </w:pPr>
      <w:r w:rsidRPr="00496E45">
        <w:t>Hobart (Tasmania), Friday 18 November 2005</w:t>
      </w:r>
    </w:p>
    <w:p w14:paraId="3F8D4147" w14:textId="3DDCD418" w:rsidR="00584460" w:rsidRPr="00220DB6" w:rsidRDefault="00584460" w:rsidP="009F018E">
      <w:pPr>
        <w:pStyle w:val="ListParagraph"/>
        <w:numPr>
          <w:ilvl w:val="0"/>
          <w:numId w:val="39"/>
        </w:numPr>
        <w:ind w:left="851" w:hanging="851"/>
      </w:pPr>
      <w:r w:rsidRPr="00220DB6">
        <w:t>Ian MacKinnon (Farmer)</w:t>
      </w:r>
    </w:p>
    <w:p w14:paraId="290E06ED" w14:textId="003CA123" w:rsidR="00584460" w:rsidRPr="00220DB6" w:rsidRDefault="00584460" w:rsidP="009F018E">
      <w:pPr>
        <w:pStyle w:val="ListParagraph"/>
        <w:numPr>
          <w:ilvl w:val="0"/>
          <w:numId w:val="39"/>
        </w:numPr>
        <w:ind w:left="851" w:hanging="851"/>
      </w:pPr>
      <w:r w:rsidRPr="00220DB6">
        <w:t>Ruth Trigg (University of South Australia)</w:t>
      </w:r>
    </w:p>
    <w:p w14:paraId="1A2C8C8A" w14:textId="7B4A59AD" w:rsidR="00584460" w:rsidRPr="00220DB6" w:rsidRDefault="00584460" w:rsidP="009F018E">
      <w:pPr>
        <w:pStyle w:val="ListParagraph"/>
        <w:numPr>
          <w:ilvl w:val="0"/>
          <w:numId w:val="39"/>
        </w:numPr>
        <w:ind w:left="851" w:hanging="851"/>
      </w:pPr>
      <w:r w:rsidRPr="00220DB6">
        <w:t>Keith Rice (Tasmanian Poppy Growers Association)</w:t>
      </w:r>
    </w:p>
    <w:p w14:paraId="3A1846D3" w14:textId="7CA2E02A" w:rsidR="00584460" w:rsidRPr="00220DB6" w:rsidRDefault="00584460" w:rsidP="009F018E">
      <w:pPr>
        <w:pStyle w:val="ListParagraph"/>
        <w:numPr>
          <w:ilvl w:val="0"/>
          <w:numId w:val="39"/>
        </w:numPr>
        <w:ind w:left="851" w:hanging="851"/>
      </w:pPr>
      <w:r w:rsidRPr="00220DB6">
        <w:t xml:space="preserve">Lisa </w:t>
      </w:r>
      <w:proofErr w:type="spellStart"/>
      <w:r w:rsidRPr="00220DB6">
        <w:t>Triffett</w:t>
      </w:r>
      <w:proofErr w:type="spellEnd"/>
      <w:r w:rsidRPr="00220DB6">
        <w:t xml:space="preserve"> (DPIWE)</w:t>
      </w:r>
    </w:p>
    <w:p w14:paraId="5061EB70" w14:textId="34DBF106" w:rsidR="00584460" w:rsidRPr="00220DB6" w:rsidRDefault="00584460" w:rsidP="009F018E">
      <w:pPr>
        <w:pStyle w:val="ListParagraph"/>
        <w:numPr>
          <w:ilvl w:val="0"/>
          <w:numId w:val="39"/>
        </w:numPr>
        <w:ind w:left="851" w:hanging="851"/>
      </w:pPr>
      <w:r w:rsidRPr="00220DB6">
        <w:t xml:space="preserve">Jim </w:t>
      </w:r>
      <w:proofErr w:type="spellStart"/>
      <w:r w:rsidRPr="00220DB6">
        <w:t>Rossiti</w:t>
      </w:r>
      <w:proofErr w:type="spellEnd"/>
      <w:r w:rsidRPr="00220DB6">
        <w:t xml:space="preserve"> (Organic Coalition of Tasmania)</w:t>
      </w:r>
    </w:p>
    <w:p w14:paraId="5791F8E9" w14:textId="07282E76" w:rsidR="00584460" w:rsidRPr="00220DB6" w:rsidRDefault="00584460" w:rsidP="009F018E">
      <w:pPr>
        <w:pStyle w:val="ListParagraph"/>
        <w:numPr>
          <w:ilvl w:val="0"/>
          <w:numId w:val="39"/>
        </w:numPr>
        <w:ind w:left="851" w:hanging="851"/>
      </w:pPr>
      <w:r w:rsidRPr="00220DB6">
        <w:t xml:space="preserve">Chris </w:t>
      </w:r>
      <w:proofErr w:type="spellStart"/>
      <w:r w:rsidRPr="00220DB6">
        <w:t>Hullock</w:t>
      </w:r>
      <w:proofErr w:type="spellEnd"/>
      <w:r w:rsidRPr="00220DB6">
        <w:t xml:space="preserve"> (DPIWE)</w:t>
      </w:r>
    </w:p>
    <w:p w14:paraId="1606D897" w14:textId="09E87B04" w:rsidR="00584460" w:rsidRPr="00220DB6" w:rsidRDefault="00584460" w:rsidP="009F018E">
      <w:pPr>
        <w:pStyle w:val="ListParagraph"/>
        <w:numPr>
          <w:ilvl w:val="0"/>
          <w:numId w:val="39"/>
        </w:numPr>
        <w:ind w:left="851" w:hanging="851"/>
      </w:pPr>
      <w:r w:rsidRPr="00220DB6">
        <w:t>L. Shea</w:t>
      </w:r>
    </w:p>
    <w:p w14:paraId="1FAFD972" w14:textId="6DE0F7DF" w:rsidR="00584460" w:rsidRPr="00220DB6" w:rsidRDefault="00584460" w:rsidP="009F018E">
      <w:pPr>
        <w:pStyle w:val="ListParagraph"/>
        <w:numPr>
          <w:ilvl w:val="0"/>
          <w:numId w:val="39"/>
        </w:numPr>
        <w:ind w:left="851" w:hanging="851"/>
      </w:pPr>
      <w:r w:rsidRPr="00220DB6">
        <w:t>Nick Steel (TFGA)</w:t>
      </w:r>
    </w:p>
    <w:p w14:paraId="3835B3EB" w14:textId="17A53E42" w:rsidR="00584460" w:rsidRPr="00220DB6" w:rsidRDefault="00584460" w:rsidP="009F018E">
      <w:pPr>
        <w:pStyle w:val="ListParagraph"/>
        <w:numPr>
          <w:ilvl w:val="0"/>
          <w:numId w:val="39"/>
        </w:numPr>
        <w:ind w:left="851" w:hanging="851"/>
      </w:pPr>
      <w:r w:rsidRPr="00220DB6">
        <w:t>J. Patil (CSIRO)</w:t>
      </w:r>
    </w:p>
    <w:p w14:paraId="7F441F7A" w14:textId="69A0009A" w:rsidR="00584460" w:rsidRPr="00220DB6" w:rsidRDefault="00584460" w:rsidP="009F018E">
      <w:pPr>
        <w:pStyle w:val="ListParagraph"/>
        <w:numPr>
          <w:ilvl w:val="0"/>
          <w:numId w:val="39"/>
        </w:numPr>
        <w:ind w:left="851" w:hanging="851"/>
      </w:pPr>
      <w:r w:rsidRPr="00220DB6">
        <w:t>Greg Whitten (Organic Coalition of Tasmania)</w:t>
      </w:r>
    </w:p>
    <w:p w14:paraId="737874BE" w14:textId="496FCCD9" w:rsidR="00584460" w:rsidRPr="00220DB6" w:rsidRDefault="00584460" w:rsidP="009F018E">
      <w:pPr>
        <w:pStyle w:val="ListParagraph"/>
        <w:numPr>
          <w:ilvl w:val="0"/>
          <w:numId w:val="39"/>
        </w:numPr>
        <w:ind w:left="851" w:hanging="851"/>
      </w:pPr>
      <w:r w:rsidRPr="00220DB6">
        <w:t xml:space="preserve">John </w:t>
      </w:r>
      <w:proofErr w:type="spellStart"/>
      <w:r w:rsidRPr="00220DB6">
        <w:t>Casburn</w:t>
      </w:r>
      <w:proofErr w:type="spellEnd"/>
      <w:r w:rsidRPr="00220DB6">
        <w:t xml:space="preserve"> (BD Tas)</w:t>
      </w:r>
    </w:p>
    <w:p w14:paraId="6F238CBD" w14:textId="74EED0C6" w:rsidR="00584460" w:rsidRPr="00220DB6" w:rsidRDefault="00584460" w:rsidP="009F018E">
      <w:pPr>
        <w:pStyle w:val="ListParagraph"/>
        <w:numPr>
          <w:ilvl w:val="0"/>
          <w:numId w:val="39"/>
        </w:numPr>
        <w:ind w:left="851" w:hanging="851"/>
      </w:pPr>
      <w:r w:rsidRPr="00220DB6">
        <w:t>Ute Mueller (BD Tas)</w:t>
      </w:r>
    </w:p>
    <w:p w14:paraId="41DB2845" w14:textId="7CD55910" w:rsidR="00584460" w:rsidRPr="00220DB6" w:rsidRDefault="00584460" w:rsidP="009F018E">
      <w:pPr>
        <w:pStyle w:val="ListParagraph"/>
        <w:numPr>
          <w:ilvl w:val="0"/>
          <w:numId w:val="39"/>
        </w:numPr>
        <w:ind w:left="851" w:hanging="851"/>
      </w:pPr>
      <w:r w:rsidRPr="00220DB6">
        <w:t>Cindy Hanson (DPIWE)</w:t>
      </w:r>
    </w:p>
    <w:p w14:paraId="0FA4B16A" w14:textId="65EC57BD" w:rsidR="00584460" w:rsidRPr="00220DB6" w:rsidRDefault="00584460" w:rsidP="009F018E">
      <w:pPr>
        <w:pStyle w:val="ListParagraph"/>
        <w:numPr>
          <w:ilvl w:val="0"/>
          <w:numId w:val="39"/>
        </w:numPr>
        <w:ind w:left="851" w:hanging="851"/>
      </w:pPr>
      <w:r w:rsidRPr="00220DB6">
        <w:t xml:space="preserve">Duncan </w:t>
      </w:r>
      <w:proofErr w:type="spellStart"/>
      <w:r w:rsidRPr="00220DB6">
        <w:t>Fanquhan</w:t>
      </w:r>
      <w:proofErr w:type="spellEnd"/>
      <w:r w:rsidRPr="00220DB6">
        <w:t xml:space="preserve"> (DPIWE)</w:t>
      </w:r>
    </w:p>
    <w:p w14:paraId="3C36FAE3" w14:textId="30F7542B" w:rsidR="00584460" w:rsidRPr="00220DB6" w:rsidRDefault="00584460" w:rsidP="009F018E">
      <w:pPr>
        <w:pStyle w:val="ListParagraph"/>
        <w:numPr>
          <w:ilvl w:val="0"/>
          <w:numId w:val="39"/>
        </w:numPr>
        <w:ind w:left="851" w:hanging="851"/>
      </w:pPr>
      <w:r w:rsidRPr="00220DB6">
        <w:t xml:space="preserve">Alex </w:t>
      </w:r>
      <w:proofErr w:type="spellStart"/>
      <w:r w:rsidRPr="00220DB6">
        <w:t>Schaap</w:t>
      </w:r>
      <w:proofErr w:type="spellEnd"/>
    </w:p>
    <w:p w14:paraId="2443A5F7" w14:textId="47D1BA88" w:rsidR="00584460" w:rsidRPr="00220DB6" w:rsidRDefault="00584460" w:rsidP="009F018E">
      <w:pPr>
        <w:pStyle w:val="ListParagraph"/>
        <w:numPr>
          <w:ilvl w:val="0"/>
          <w:numId w:val="39"/>
        </w:numPr>
        <w:ind w:left="851" w:hanging="851"/>
      </w:pPr>
      <w:r w:rsidRPr="00220DB6">
        <w:t>Lynne Forster</w:t>
      </w:r>
    </w:p>
    <w:p w14:paraId="5242C3DB" w14:textId="2BEF2B3E" w:rsidR="00E24720" w:rsidRPr="00220DB6" w:rsidRDefault="00584460" w:rsidP="009F018E">
      <w:pPr>
        <w:pStyle w:val="ListParagraph"/>
        <w:numPr>
          <w:ilvl w:val="0"/>
          <w:numId w:val="39"/>
        </w:numPr>
        <w:ind w:left="851" w:hanging="851"/>
      </w:pPr>
      <w:r w:rsidRPr="00220DB6">
        <w:t xml:space="preserve">Camille </w:t>
      </w:r>
      <w:proofErr w:type="spellStart"/>
      <w:r w:rsidRPr="00220DB6">
        <w:t>Velnaar</w:t>
      </w:r>
      <w:proofErr w:type="spellEnd"/>
    </w:p>
    <w:p w14:paraId="65928774" w14:textId="77777777" w:rsidR="00584460" w:rsidRPr="00E24720" w:rsidRDefault="00584460" w:rsidP="00220DB6">
      <w:pPr>
        <w:pStyle w:val="Heading3"/>
      </w:pPr>
      <w:r w:rsidRPr="00E24720">
        <w:t>Darwin (Northern Territory), Friday 2 December</w:t>
      </w:r>
    </w:p>
    <w:p w14:paraId="1D050A8D" w14:textId="3FC6847D" w:rsidR="00584460" w:rsidRPr="00220DB6" w:rsidRDefault="00584460" w:rsidP="009F018E">
      <w:pPr>
        <w:pStyle w:val="ListParagraph"/>
        <w:numPr>
          <w:ilvl w:val="0"/>
          <w:numId w:val="40"/>
        </w:numPr>
        <w:ind w:left="851" w:hanging="851"/>
      </w:pPr>
      <w:r w:rsidRPr="00220DB6">
        <w:t>Strider</w:t>
      </w:r>
    </w:p>
    <w:p w14:paraId="65727E6A" w14:textId="01B9CB78" w:rsidR="00584460" w:rsidRPr="00220DB6" w:rsidRDefault="00584460" w:rsidP="009F018E">
      <w:pPr>
        <w:pStyle w:val="ListParagraph"/>
        <w:numPr>
          <w:ilvl w:val="0"/>
          <w:numId w:val="40"/>
        </w:numPr>
        <w:ind w:left="851" w:hanging="851"/>
      </w:pPr>
      <w:r w:rsidRPr="00220DB6">
        <w:t>Peter Robertson (Environment Centre of Northern Territory)</w:t>
      </w:r>
    </w:p>
    <w:p w14:paraId="74689560" w14:textId="429178DE" w:rsidR="00584460" w:rsidRPr="00220DB6" w:rsidRDefault="00584460" w:rsidP="009F018E">
      <w:pPr>
        <w:pStyle w:val="ListParagraph"/>
        <w:numPr>
          <w:ilvl w:val="0"/>
          <w:numId w:val="40"/>
        </w:numPr>
        <w:ind w:left="851" w:hanging="851"/>
      </w:pPr>
      <w:r w:rsidRPr="00220DB6">
        <w:t>Tom Kiely</w:t>
      </w:r>
    </w:p>
    <w:p w14:paraId="6B378127" w14:textId="65D89550" w:rsidR="00584460" w:rsidRPr="00220DB6" w:rsidRDefault="00584460" w:rsidP="009F018E">
      <w:pPr>
        <w:pStyle w:val="ListParagraph"/>
        <w:numPr>
          <w:ilvl w:val="0"/>
          <w:numId w:val="40"/>
        </w:numPr>
        <w:ind w:left="851" w:hanging="851"/>
      </w:pPr>
      <w:r w:rsidRPr="00220DB6">
        <w:t>Justin Tutty</w:t>
      </w:r>
    </w:p>
    <w:p w14:paraId="4B62A9FB" w14:textId="1A27EB20" w:rsidR="00584460" w:rsidRPr="00220DB6" w:rsidRDefault="00584460" w:rsidP="009F018E">
      <w:pPr>
        <w:pStyle w:val="ListParagraph"/>
        <w:numPr>
          <w:ilvl w:val="0"/>
          <w:numId w:val="40"/>
        </w:numPr>
        <w:ind w:left="851" w:hanging="851"/>
      </w:pPr>
      <w:r w:rsidRPr="00220DB6">
        <w:t>Sue Hutton</w:t>
      </w:r>
    </w:p>
    <w:p w14:paraId="231FE2EB" w14:textId="166EFB53" w:rsidR="00584460" w:rsidRPr="00220DB6" w:rsidRDefault="00584460" w:rsidP="009F018E">
      <w:pPr>
        <w:pStyle w:val="ListParagraph"/>
        <w:numPr>
          <w:ilvl w:val="0"/>
          <w:numId w:val="40"/>
        </w:numPr>
        <w:ind w:left="851" w:hanging="851"/>
      </w:pPr>
      <w:r w:rsidRPr="00220DB6">
        <w:t xml:space="preserve">Gabby </w:t>
      </w:r>
      <w:proofErr w:type="spellStart"/>
      <w:r w:rsidRPr="00220DB6">
        <w:t>Faus</w:t>
      </w:r>
      <w:proofErr w:type="spellEnd"/>
    </w:p>
    <w:p w14:paraId="195117F5" w14:textId="555624B4" w:rsidR="00584460" w:rsidRPr="00220DB6" w:rsidRDefault="00584460" w:rsidP="009F018E">
      <w:pPr>
        <w:pStyle w:val="ListParagraph"/>
        <w:numPr>
          <w:ilvl w:val="0"/>
          <w:numId w:val="40"/>
        </w:numPr>
        <w:ind w:left="851" w:hanging="851"/>
      </w:pPr>
      <w:r w:rsidRPr="00220DB6">
        <w:t>Tony Cowen, EDO (NT)</w:t>
      </w:r>
    </w:p>
    <w:p w14:paraId="5710C986" w14:textId="573942E8" w:rsidR="00584460" w:rsidRPr="00220DB6" w:rsidRDefault="00584460" w:rsidP="009F018E">
      <w:pPr>
        <w:pStyle w:val="ListParagraph"/>
        <w:numPr>
          <w:ilvl w:val="0"/>
          <w:numId w:val="40"/>
        </w:numPr>
        <w:ind w:left="851" w:hanging="851"/>
      </w:pPr>
      <w:r w:rsidRPr="00220DB6">
        <w:t xml:space="preserve">Larissa </w:t>
      </w:r>
      <w:proofErr w:type="spellStart"/>
      <w:r w:rsidRPr="00220DB6">
        <w:t>Mullot</w:t>
      </w:r>
      <w:proofErr w:type="spellEnd"/>
      <w:r w:rsidRPr="00220DB6">
        <w:t xml:space="preserve"> (</w:t>
      </w:r>
      <w:proofErr w:type="spellStart"/>
      <w:r w:rsidRPr="00220DB6">
        <w:t>Agrifood</w:t>
      </w:r>
      <w:proofErr w:type="spellEnd"/>
      <w:r w:rsidRPr="00220DB6">
        <w:t xml:space="preserve"> Awareness Australia Limited)</w:t>
      </w:r>
    </w:p>
    <w:p w14:paraId="3A100A5F" w14:textId="3CBDD311" w:rsidR="00584460" w:rsidRPr="00220DB6" w:rsidRDefault="00584460" w:rsidP="009F018E">
      <w:pPr>
        <w:pStyle w:val="ListParagraph"/>
        <w:numPr>
          <w:ilvl w:val="0"/>
          <w:numId w:val="40"/>
        </w:numPr>
        <w:ind w:left="851" w:hanging="851"/>
      </w:pPr>
      <w:r w:rsidRPr="00220DB6">
        <w:t>Christine Long (NT Department of Primary Industries, Fisheries and Mines)</w:t>
      </w:r>
    </w:p>
    <w:p w14:paraId="146ABF8C" w14:textId="4FFD7470" w:rsidR="00584460" w:rsidRPr="00220DB6" w:rsidRDefault="00584460" w:rsidP="009F018E">
      <w:pPr>
        <w:pStyle w:val="ListParagraph"/>
        <w:numPr>
          <w:ilvl w:val="0"/>
          <w:numId w:val="40"/>
        </w:numPr>
        <w:ind w:left="851" w:hanging="851"/>
      </w:pPr>
      <w:r w:rsidRPr="00220DB6">
        <w:t xml:space="preserve">Sally </w:t>
      </w:r>
      <w:proofErr w:type="spellStart"/>
      <w:r w:rsidRPr="00220DB6">
        <w:t>Bothroyd</w:t>
      </w:r>
      <w:proofErr w:type="spellEnd"/>
      <w:r w:rsidRPr="00220DB6">
        <w:t xml:space="preserve"> (ABC Radio)</w:t>
      </w:r>
    </w:p>
    <w:p w14:paraId="5E4319F3" w14:textId="60FEA90E" w:rsidR="00584460" w:rsidRPr="00220DB6" w:rsidRDefault="00584460" w:rsidP="009F018E">
      <w:pPr>
        <w:pStyle w:val="ListParagraph"/>
        <w:numPr>
          <w:ilvl w:val="0"/>
          <w:numId w:val="40"/>
        </w:numPr>
        <w:ind w:left="851" w:hanging="851"/>
      </w:pPr>
      <w:r w:rsidRPr="00220DB6">
        <w:t xml:space="preserve">Murray </w:t>
      </w:r>
      <w:proofErr w:type="spellStart"/>
      <w:r w:rsidRPr="00220DB6">
        <w:t>Hird</w:t>
      </w:r>
      <w:proofErr w:type="spellEnd"/>
      <w:r w:rsidRPr="00220DB6">
        <w:t xml:space="preserve"> (Northern Territory Government)</w:t>
      </w:r>
    </w:p>
    <w:p w14:paraId="031538D4" w14:textId="4BA4F300" w:rsidR="00E24720" w:rsidRPr="00220DB6" w:rsidRDefault="00E672EA" w:rsidP="00220DB6">
      <w:pPr>
        <w:pStyle w:val="Heading1"/>
      </w:pPr>
      <w:bookmarkStart w:id="83" w:name="_Toc95326317"/>
      <w:r w:rsidRPr="00220DB6">
        <w:lastRenderedPageBreak/>
        <w:t>Appendix 4</w:t>
      </w:r>
      <w:bookmarkEnd w:id="83"/>
    </w:p>
    <w:p w14:paraId="710FCF58" w14:textId="77777777" w:rsidR="00E24720" w:rsidRPr="00220DB6" w:rsidRDefault="00E24720" w:rsidP="00220DB6">
      <w:pPr>
        <w:pStyle w:val="Heading2"/>
      </w:pPr>
      <w:bookmarkStart w:id="84" w:name="_Toc95326318"/>
      <w:r w:rsidRPr="00220DB6">
        <w:t xml:space="preserve">The application approval process outlined in the </w:t>
      </w:r>
      <w:r w:rsidRPr="00EC715C">
        <w:rPr>
          <w:i/>
          <w:iCs/>
        </w:rPr>
        <w:t>Gene Technology Act 2000</w:t>
      </w:r>
      <w:bookmarkEnd w:id="84"/>
    </w:p>
    <w:p w14:paraId="7AF9FC9E" w14:textId="7E72AD7C" w:rsidR="00E24720" w:rsidRDefault="00E24720" w:rsidP="00EC715C">
      <w:r w:rsidRPr="00E24720">
        <w:t>The Act and Gene Technology Regulations 2001 (the Regulations) and corresponding</w:t>
      </w:r>
      <w:r w:rsidR="00EC715C">
        <w:t xml:space="preserve"> </w:t>
      </w:r>
      <w:r w:rsidRPr="00E24720">
        <w:t>State and Territory laws provide a nationally consistent system to regulate the use of</w:t>
      </w:r>
      <w:r w:rsidR="00EC715C">
        <w:t xml:space="preserve"> </w:t>
      </w:r>
      <w:r w:rsidRPr="00E24720">
        <w:t>gene technology in Australia. The legislation establishes an independent statutory</w:t>
      </w:r>
      <w:r w:rsidR="00EC715C">
        <w:t xml:space="preserve"> </w:t>
      </w:r>
      <w:r w:rsidRPr="00E24720">
        <w:t>office holder, the Gene Technology Regulator, who is charged with administering the</w:t>
      </w:r>
      <w:r w:rsidR="00EC715C">
        <w:t xml:space="preserve"> </w:t>
      </w:r>
      <w:r w:rsidRPr="00E24720">
        <w:t>Act and making decisions about the development and use of GMOs under the Act.</w:t>
      </w:r>
    </w:p>
    <w:p w14:paraId="0B970DC3" w14:textId="77777777" w:rsidR="00A877B7" w:rsidRPr="00A877B7" w:rsidRDefault="00A877B7" w:rsidP="00EC715C">
      <w:pPr>
        <w:pStyle w:val="Heading3"/>
      </w:pPr>
      <w:r w:rsidRPr="00A877B7">
        <w:t>Types of dealings</w:t>
      </w:r>
    </w:p>
    <w:p w14:paraId="060369C7" w14:textId="77777777" w:rsidR="00A877B7" w:rsidRPr="00B56072" w:rsidRDefault="00A877B7" w:rsidP="00B56072">
      <w:r w:rsidRPr="00B56072">
        <w:t>To ‘deal with’ a GMO is defined in the Act (Part 2, Division 2, section 10(1)) and includes (but is not limited to): experiment with, manufacture, breed, propagate, grow, culture, import, and to possess, supply, use, transport, or dispose of a GMO.</w:t>
      </w:r>
    </w:p>
    <w:p w14:paraId="60365A96" w14:textId="77777777" w:rsidR="00A877B7" w:rsidRPr="00B56072" w:rsidRDefault="00A877B7" w:rsidP="00B56072">
      <w:r w:rsidRPr="00B56072">
        <w:t>A GMO is defined as any organism that has been modified by gene technology, or offspring derived from such an organism, or anything declared as a GMO in the Regulations.</w:t>
      </w:r>
    </w:p>
    <w:p w14:paraId="0990B982" w14:textId="77777777" w:rsidR="00A877B7" w:rsidRPr="00B56072" w:rsidRDefault="00A877B7" w:rsidP="00B56072">
      <w:r w:rsidRPr="00B56072">
        <w:t xml:space="preserve">The Act is a </w:t>
      </w:r>
      <w:proofErr w:type="spellStart"/>
      <w:r w:rsidRPr="00B56072">
        <w:t>prohibitory</w:t>
      </w:r>
      <w:proofErr w:type="spellEnd"/>
      <w:r w:rsidRPr="00B56072">
        <w:t xml:space="preserve"> scheme that makes dealing with a GMO a criminal offence unless the dealing is:</w:t>
      </w:r>
    </w:p>
    <w:p w14:paraId="1E2DAA36" w14:textId="77777777" w:rsidR="00A877B7" w:rsidRPr="00B56072" w:rsidRDefault="00A877B7" w:rsidP="009F018E">
      <w:pPr>
        <w:pStyle w:val="ListParagraph"/>
        <w:numPr>
          <w:ilvl w:val="0"/>
          <w:numId w:val="41"/>
        </w:numPr>
      </w:pPr>
      <w:r w:rsidRPr="00B56072">
        <w:t xml:space="preserve">an exempt </w:t>
      </w:r>
      <w:proofErr w:type="gramStart"/>
      <w:r w:rsidRPr="00B56072">
        <w:t>dealing;</w:t>
      </w:r>
      <w:proofErr w:type="gramEnd"/>
    </w:p>
    <w:p w14:paraId="58E7AA17" w14:textId="77777777" w:rsidR="00A877B7" w:rsidRPr="00B56072" w:rsidRDefault="00A877B7" w:rsidP="009F018E">
      <w:pPr>
        <w:pStyle w:val="ListParagraph"/>
        <w:numPr>
          <w:ilvl w:val="0"/>
          <w:numId w:val="41"/>
        </w:numPr>
      </w:pPr>
      <w:r w:rsidRPr="00B56072">
        <w:t>a notifiable low risk dealing (NLRD</w:t>
      </w:r>
      <w:proofErr w:type="gramStart"/>
      <w:r w:rsidRPr="00B56072">
        <w:t>);</w:t>
      </w:r>
      <w:proofErr w:type="gramEnd"/>
    </w:p>
    <w:p w14:paraId="4A751157" w14:textId="77777777" w:rsidR="00A877B7" w:rsidRPr="00B56072" w:rsidRDefault="00A877B7" w:rsidP="009F018E">
      <w:pPr>
        <w:pStyle w:val="ListParagraph"/>
        <w:numPr>
          <w:ilvl w:val="0"/>
          <w:numId w:val="41"/>
        </w:numPr>
      </w:pPr>
      <w:r w:rsidRPr="00B56072">
        <w:t>authorised by a licence; or</w:t>
      </w:r>
    </w:p>
    <w:p w14:paraId="08272068" w14:textId="77777777" w:rsidR="00A877B7" w:rsidRPr="00B56072" w:rsidRDefault="00A877B7" w:rsidP="009F018E">
      <w:pPr>
        <w:pStyle w:val="ListParagraph"/>
        <w:numPr>
          <w:ilvl w:val="0"/>
          <w:numId w:val="41"/>
        </w:numPr>
      </w:pPr>
      <w:r w:rsidRPr="00B56072">
        <w:t>included on the GMO register.</w:t>
      </w:r>
    </w:p>
    <w:p w14:paraId="5348BB18" w14:textId="77777777" w:rsidR="00A877B7" w:rsidRPr="00B56072" w:rsidRDefault="00A877B7" w:rsidP="00B56072">
      <w:r w:rsidRPr="00B56072">
        <w:t xml:space="preserve">Exempt dealings and NLRDs are not considered to pose risks that require direct scrutiny by the Regulator in the form of </w:t>
      </w:r>
      <w:proofErr w:type="gramStart"/>
      <w:r w:rsidRPr="00B56072">
        <w:t>case by case</w:t>
      </w:r>
      <w:proofErr w:type="gramEnd"/>
      <w:r w:rsidRPr="00B56072">
        <w:t xml:space="preserve"> risk assessment. These kinds of dealings are routine laboratory techniques involving GMOs that were in use when the Act came into force and have been used safely for many years or represent minimal risk dealings when performed in contained conditions.</w:t>
      </w:r>
    </w:p>
    <w:p w14:paraId="7AE9CB5C" w14:textId="77777777" w:rsidR="00A877B7" w:rsidRPr="00B56072" w:rsidRDefault="00A877B7" w:rsidP="00B56072">
      <w:r w:rsidRPr="00B56072">
        <w:t xml:space="preserve">The Act states that the Regulator must prepare a risk assessment and RARMP for all applications involving dealings that require a licence, as part of the process of </w:t>
      </w:r>
      <w:proofErr w:type="gramStart"/>
      <w:r w:rsidRPr="00B56072">
        <w:t>making a decision</w:t>
      </w:r>
      <w:proofErr w:type="gramEnd"/>
      <w:r w:rsidRPr="00B56072">
        <w:t xml:space="preserve"> on whether to issue a licence (sections 47 and 50).</w:t>
      </w:r>
    </w:p>
    <w:p w14:paraId="007E245B" w14:textId="77777777" w:rsidR="00A877B7" w:rsidRPr="00B56072" w:rsidRDefault="00A877B7" w:rsidP="00B56072">
      <w:r w:rsidRPr="00B56072">
        <w:t xml:space="preserve">Dealings authorised by a licence are further categorised into DNIRs and </w:t>
      </w:r>
      <w:proofErr w:type="spellStart"/>
      <w:r w:rsidRPr="00B56072">
        <w:t>DIRs.</w:t>
      </w:r>
      <w:proofErr w:type="spellEnd"/>
    </w:p>
    <w:p w14:paraId="3DB2C8D2" w14:textId="77777777" w:rsidR="00A877B7" w:rsidRPr="00B56072" w:rsidRDefault="00A877B7" w:rsidP="00B56072">
      <w:r w:rsidRPr="00B56072">
        <w:t>A representation of the classes of dealings, outlining the level of risk and the predetermined management conditions (</w:t>
      </w:r>
      <w:proofErr w:type="gramStart"/>
      <w:r w:rsidRPr="00B56072">
        <w:t>e.g.</w:t>
      </w:r>
      <w:proofErr w:type="gramEnd"/>
      <w:r w:rsidRPr="00B56072">
        <w:t xml:space="preserve"> containment) is set out in table 10.</w:t>
      </w:r>
    </w:p>
    <w:p w14:paraId="2CBE028A" w14:textId="77777777" w:rsidR="00A877B7" w:rsidRPr="00B56072" w:rsidRDefault="00A877B7" w:rsidP="00915C52">
      <w:pPr>
        <w:keepNext/>
        <w:keepLines/>
        <w:rPr>
          <w:b/>
          <w:bCs/>
        </w:rPr>
      </w:pPr>
      <w:r w:rsidRPr="00B56072">
        <w:rPr>
          <w:b/>
          <w:bCs/>
        </w:rPr>
        <w:lastRenderedPageBreak/>
        <w:t>Table 10: Classes of GMO dealings under the Gene Technology Act 2000</w:t>
      </w:r>
    </w:p>
    <w:tbl>
      <w:tblPr>
        <w:tblStyle w:val="TableGrid"/>
        <w:tblW w:w="0" w:type="auto"/>
        <w:tblLook w:val="04A0" w:firstRow="1" w:lastRow="0" w:firstColumn="1" w:lastColumn="0" w:noHBand="0" w:noVBand="1"/>
      </w:tblPr>
      <w:tblGrid>
        <w:gridCol w:w="1235"/>
        <w:gridCol w:w="1170"/>
        <w:gridCol w:w="3096"/>
        <w:gridCol w:w="3515"/>
      </w:tblGrid>
      <w:tr w:rsidR="00EA29E5" w14:paraId="4D7287DA" w14:textId="77777777" w:rsidTr="00A14388">
        <w:tc>
          <w:tcPr>
            <w:tcW w:w="0" w:type="auto"/>
            <w:shd w:val="clear" w:color="auto" w:fill="000000" w:themeFill="text1"/>
          </w:tcPr>
          <w:p w14:paraId="570EAD23" w14:textId="53B22C8F" w:rsidR="00EA29E5" w:rsidRDefault="000F07CC" w:rsidP="00915C52">
            <w:pPr>
              <w:pStyle w:val="Tableheader"/>
              <w:keepNext/>
              <w:keepLines/>
            </w:pPr>
            <w:r>
              <w:t>Category</w:t>
            </w:r>
          </w:p>
        </w:tc>
        <w:tc>
          <w:tcPr>
            <w:tcW w:w="1170" w:type="dxa"/>
            <w:shd w:val="clear" w:color="auto" w:fill="000000" w:themeFill="text1"/>
          </w:tcPr>
          <w:p w14:paraId="6914F91F" w14:textId="7E4E88CD" w:rsidR="00EA29E5" w:rsidRDefault="000F07CC" w:rsidP="00915C52">
            <w:pPr>
              <w:pStyle w:val="Tableheader"/>
              <w:keepNext/>
              <w:keepLines/>
            </w:pPr>
            <w:r>
              <w:t>Risk</w:t>
            </w:r>
            <w:r>
              <w:rPr>
                <w:rStyle w:val="FootnoteReference"/>
              </w:rPr>
              <w:footnoteReference w:id="9"/>
            </w:r>
          </w:p>
        </w:tc>
        <w:tc>
          <w:tcPr>
            <w:tcW w:w="3096" w:type="dxa"/>
            <w:shd w:val="clear" w:color="auto" w:fill="000000" w:themeFill="text1"/>
          </w:tcPr>
          <w:p w14:paraId="64A5F932" w14:textId="34A5C828" w:rsidR="00EA29E5" w:rsidRDefault="000F07CC" w:rsidP="00915C52">
            <w:pPr>
              <w:pStyle w:val="Tableheader"/>
              <w:keepNext/>
              <w:keepLines/>
            </w:pPr>
            <w:r>
              <w:t>Licence Required</w:t>
            </w:r>
          </w:p>
        </w:tc>
        <w:tc>
          <w:tcPr>
            <w:tcW w:w="0" w:type="auto"/>
            <w:shd w:val="clear" w:color="auto" w:fill="000000" w:themeFill="text1"/>
          </w:tcPr>
          <w:p w14:paraId="4E55D253" w14:textId="10FABDC2" w:rsidR="00EA29E5" w:rsidRDefault="000F07CC" w:rsidP="00915C52">
            <w:pPr>
              <w:pStyle w:val="Tableheader"/>
              <w:keepNext/>
              <w:keepLines/>
            </w:pPr>
            <w:r>
              <w:t>Physical containment</w:t>
            </w:r>
          </w:p>
        </w:tc>
      </w:tr>
      <w:tr w:rsidR="00EA29E5" w14:paraId="790B284E" w14:textId="77777777" w:rsidTr="00A14388">
        <w:tc>
          <w:tcPr>
            <w:tcW w:w="0" w:type="auto"/>
          </w:tcPr>
          <w:p w14:paraId="3DD29DE6" w14:textId="782A4C85" w:rsidR="00EA29E5" w:rsidRDefault="00915C52" w:rsidP="00915C52">
            <w:pPr>
              <w:keepNext/>
              <w:keepLines/>
            </w:pPr>
            <w:r>
              <w:t>GMO register</w:t>
            </w:r>
          </w:p>
        </w:tc>
        <w:tc>
          <w:tcPr>
            <w:tcW w:w="1170" w:type="dxa"/>
          </w:tcPr>
          <w:p w14:paraId="54004304" w14:textId="378B918B" w:rsidR="00EA29E5" w:rsidRDefault="002A46DC" w:rsidP="00915C52">
            <w:pPr>
              <w:keepNext/>
              <w:keepLines/>
            </w:pPr>
            <w:r w:rsidRPr="002A46DC">
              <w:t>≤ minimal</w:t>
            </w:r>
          </w:p>
        </w:tc>
        <w:tc>
          <w:tcPr>
            <w:tcW w:w="3096" w:type="dxa"/>
          </w:tcPr>
          <w:p w14:paraId="2917CEB7" w14:textId="4E79D917" w:rsidR="00EA29E5" w:rsidRDefault="00B9319E" w:rsidP="00915C52">
            <w:pPr>
              <w:keepNext/>
              <w:keepLines/>
            </w:pPr>
            <w:r w:rsidRPr="00B9319E">
              <w:t>No, but must be previously licensed</w:t>
            </w:r>
          </w:p>
        </w:tc>
        <w:tc>
          <w:tcPr>
            <w:tcW w:w="0" w:type="auto"/>
          </w:tcPr>
          <w:p w14:paraId="1162094A" w14:textId="791B3A36" w:rsidR="00EA29E5" w:rsidRDefault="009C1EE9" w:rsidP="00915C52">
            <w:pPr>
              <w:keepNext/>
              <w:keepLines/>
            </w:pPr>
            <w:r w:rsidRPr="009C1EE9">
              <w:t>Possibly (containment conditions might still be required)</w:t>
            </w:r>
          </w:p>
        </w:tc>
      </w:tr>
      <w:tr w:rsidR="002A46DC" w14:paraId="33BAFD50" w14:textId="77777777" w:rsidTr="00A14388">
        <w:tc>
          <w:tcPr>
            <w:tcW w:w="0" w:type="auto"/>
          </w:tcPr>
          <w:p w14:paraId="54752A37" w14:textId="499545A4" w:rsidR="002A46DC" w:rsidRDefault="002A46DC" w:rsidP="00915C52">
            <w:pPr>
              <w:keepNext/>
              <w:keepLines/>
            </w:pPr>
            <w:r>
              <w:t>Exempt</w:t>
            </w:r>
          </w:p>
        </w:tc>
        <w:tc>
          <w:tcPr>
            <w:tcW w:w="1170" w:type="dxa"/>
          </w:tcPr>
          <w:p w14:paraId="2DE15A0C" w14:textId="4CB816B5" w:rsidR="002A46DC" w:rsidRDefault="00B9319E" w:rsidP="00915C52">
            <w:pPr>
              <w:keepNext/>
              <w:keepLines/>
            </w:pPr>
            <w:r w:rsidRPr="00B9319E">
              <w:t>&lt; minimal</w:t>
            </w:r>
          </w:p>
        </w:tc>
        <w:tc>
          <w:tcPr>
            <w:tcW w:w="3096" w:type="dxa"/>
          </w:tcPr>
          <w:p w14:paraId="39483E93" w14:textId="322BB34C" w:rsidR="002A46DC" w:rsidRDefault="009C1EE9" w:rsidP="00915C52">
            <w:pPr>
              <w:keepNext/>
              <w:keepLines/>
            </w:pPr>
            <w:r w:rsidRPr="009C1EE9">
              <w:t>No, must notify IBC</w:t>
            </w:r>
          </w:p>
        </w:tc>
        <w:tc>
          <w:tcPr>
            <w:tcW w:w="0" w:type="auto"/>
          </w:tcPr>
          <w:p w14:paraId="23099865" w14:textId="77777777" w:rsidR="002A46DC" w:rsidRDefault="006D79FB" w:rsidP="00915C52">
            <w:pPr>
              <w:keepNext/>
              <w:keepLines/>
            </w:pPr>
            <w:r>
              <w:t>Yes</w:t>
            </w:r>
          </w:p>
          <w:p w14:paraId="23955A6E" w14:textId="0926ECAD" w:rsidR="006D79FB" w:rsidRDefault="006D79FB" w:rsidP="00915C52">
            <w:pPr>
              <w:keepNext/>
              <w:keepLines/>
            </w:pPr>
            <w:r w:rsidRPr="006D79FB">
              <w:t>PC1</w:t>
            </w:r>
          </w:p>
        </w:tc>
      </w:tr>
      <w:tr w:rsidR="002A46DC" w14:paraId="6B925272" w14:textId="77777777" w:rsidTr="00A14388">
        <w:tc>
          <w:tcPr>
            <w:tcW w:w="0" w:type="auto"/>
          </w:tcPr>
          <w:p w14:paraId="6A422C52" w14:textId="03E1B5E7" w:rsidR="002A46DC" w:rsidRDefault="002A46DC" w:rsidP="00915C52">
            <w:pPr>
              <w:keepNext/>
              <w:keepLines/>
            </w:pPr>
            <w:r>
              <w:t>NLRD</w:t>
            </w:r>
          </w:p>
        </w:tc>
        <w:tc>
          <w:tcPr>
            <w:tcW w:w="1170" w:type="dxa"/>
          </w:tcPr>
          <w:p w14:paraId="07AB3D74" w14:textId="61F04E12" w:rsidR="002A46DC" w:rsidRDefault="00B9319E" w:rsidP="00915C52">
            <w:pPr>
              <w:keepNext/>
              <w:keepLines/>
            </w:pPr>
            <w:r w:rsidRPr="00B9319E">
              <w:t>minimal</w:t>
            </w:r>
          </w:p>
        </w:tc>
        <w:tc>
          <w:tcPr>
            <w:tcW w:w="3096" w:type="dxa"/>
          </w:tcPr>
          <w:p w14:paraId="4F6141B0" w14:textId="6C8E7D3C" w:rsidR="002A46DC" w:rsidRDefault="009C1EE9" w:rsidP="00915C52">
            <w:pPr>
              <w:keepNext/>
              <w:keepLines/>
            </w:pPr>
            <w:r w:rsidRPr="009C1EE9">
              <w:t>No, dealings must be approved by IBC; OGTR notiﬁed</w:t>
            </w:r>
          </w:p>
        </w:tc>
        <w:tc>
          <w:tcPr>
            <w:tcW w:w="0" w:type="auto"/>
          </w:tcPr>
          <w:p w14:paraId="5817335F" w14:textId="77777777" w:rsidR="002A46DC" w:rsidRDefault="006D79FB" w:rsidP="00915C52">
            <w:pPr>
              <w:keepNext/>
              <w:keepLines/>
            </w:pPr>
            <w:r>
              <w:t>Yes</w:t>
            </w:r>
          </w:p>
          <w:p w14:paraId="6121DFC4" w14:textId="69EB0D3D" w:rsidR="006D79FB" w:rsidRDefault="00A14388" w:rsidP="00915C52">
            <w:pPr>
              <w:keepNext/>
              <w:keepLines/>
            </w:pPr>
            <w:r w:rsidRPr="00A14388">
              <w:t>PC2 (usually)</w:t>
            </w:r>
          </w:p>
        </w:tc>
      </w:tr>
      <w:tr w:rsidR="002A46DC" w14:paraId="7C10CA8F" w14:textId="77777777" w:rsidTr="00A14388">
        <w:tc>
          <w:tcPr>
            <w:tcW w:w="0" w:type="auto"/>
          </w:tcPr>
          <w:p w14:paraId="44ACAD1E" w14:textId="014688AE" w:rsidR="002A46DC" w:rsidRDefault="002A46DC" w:rsidP="00915C52">
            <w:pPr>
              <w:keepNext/>
              <w:keepLines/>
            </w:pPr>
            <w:r>
              <w:t>DNIR</w:t>
            </w:r>
          </w:p>
        </w:tc>
        <w:tc>
          <w:tcPr>
            <w:tcW w:w="1170" w:type="dxa"/>
          </w:tcPr>
          <w:p w14:paraId="2F7A36FC" w14:textId="11FA5319" w:rsidR="002A46DC" w:rsidRDefault="00B9319E" w:rsidP="00915C52">
            <w:pPr>
              <w:keepNext/>
              <w:keepLines/>
            </w:pPr>
            <w:r w:rsidRPr="00B9319E">
              <w:t>≥ minimal</w:t>
            </w:r>
          </w:p>
        </w:tc>
        <w:tc>
          <w:tcPr>
            <w:tcW w:w="3096" w:type="dxa"/>
          </w:tcPr>
          <w:p w14:paraId="7E9C2847" w14:textId="67DDE55D" w:rsidR="002A46DC" w:rsidRDefault="009C1EE9" w:rsidP="00915C52">
            <w:pPr>
              <w:keepNext/>
              <w:keepLines/>
            </w:pPr>
            <w:r w:rsidRPr="009C1EE9">
              <w:t>Yes, dealings must be approved by IBC; RARMP prepared, licence decision by the Regulator</w:t>
            </w:r>
          </w:p>
        </w:tc>
        <w:tc>
          <w:tcPr>
            <w:tcW w:w="0" w:type="auto"/>
          </w:tcPr>
          <w:p w14:paraId="578679E1" w14:textId="77777777" w:rsidR="00A14388" w:rsidRDefault="00A14388" w:rsidP="00A14388">
            <w:pPr>
              <w:keepNext/>
              <w:keepLines/>
            </w:pPr>
            <w:r>
              <w:t>Yes</w:t>
            </w:r>
          </w:p>
          <w:p w14:paraId="47C2179D" w14:textId="5CFE9EDA" w:rsidR="002A46DC" w:rsidRDefault="00A14388" w:rsidP="00A14388">
            <w:pPr>
              <w:keepNext/>
              <w:keepLines/>
            </w:pPr>
            <w:r>
              <w:t>≥ PC2 (usually)</w:t>
            </w:r>
          </w:p>
        </w:tc>
      </w:tr>
      <w:tr w:rsidR="002A46DC" w14:paraId="5CAD8D8A" w14:textId="77777777" w:rsidTr="00A14388">
        <w:tc>
          <w:tcPr>
            <w:tcW w:w="0" w:type="auto"/>
          </w:tcPr>
          <w:p w14:paraId="3616065C" w14:textId="13991E5F" w:rsidR="002A46DC" w:rsidRDefault="002A46DC" w:rsidP="00915C52">
            <w:pPr>
              <w:keepNext/>
              <w:keepLines/>
            </w:pPr>
            <w:r>
              <w:t>DIR</w:t>
            </w:r>
          </w:p>
        </w:tc>
        <w:tc>
          <w:tcPr>
            <w:tcW w:w="1170" w:type="dxa"/>
          </w:tcPr>
          <w:p w14:paraId="05FECCB2" w14:textId="4B6E736D" w:rsidR="002A46DC" w:rsidRDefault="00B9319E" w:rsidP="00915C52">
            <w:pPr>
              <w:keepNext/>
              <w:keepLines/>
            </w:pPr>
            <w:r w:rsidRPr="00B9319E">
              <w:t>≥ minimal</w:t>
            </w:r>
          </w:p>
        </w:tc>
        <w:tc>
          <w:tcPr>
            <w:tcW w:w="3096" w:type="dxa"/>
          </w:tcPr>
          <w:p w14:paraId="1AFF70E7" w14:textId="2F34279C" w:rsidR="002A46DC" w:rsidRDefault="009C1EE9" w:rsidP="00915C52">
            <w:pPr>
              <w:keepNext/>
              <w:keepLines/>
            </w:pPr>
            <w:r w:rsidRPr="009C1EE9">
              <w:t>Yes, dealings must be approved by IBC; RARMP prepared, extensive consultation, licence decision by the Regulator</w:t>
            </w:r>
          </w:p>
        </w:tc>
        <w:tc>
          <w:tcPr>
            <w:tcW w:w="0" w:type="auto"/>
          </w:tcPr>
          <w:p w14:paraId="549B1626" w14:textId="7F2BED88" w:rsidR="002A46DC" w:rsidRDefault="00A14388" w:rsidP="00915C52">
            <w:pPr>
              <w:keepNext/>
              <w:keepLines/>
            </w:pPr>
            <w:r w:rsidRPr="00A14388">
              <w:t>No (although where releases are limited and controlled containment measures will be required, and licence conditions will apply)</w:t>
            </w:r>
          </w:p>
        </w:tc>
      </w:tr>
    </w:tbl>
    <w:p w14:paraId="5D92BA1C" w14:textId="77777777" w:rsidR="00274BF8" w:rsidRDefault="00274BF8" w:rsidP="00593E43">
      <w:r w:rsidRPr="00274BF8">
        <w:t>The licensing system is centred on a rigorous process of risk assessment based on</w:t>
      </w:r>
      <w:r>
        <w:t xml:space="preserve"> scientifi</w:t>
      </w:r>
      <w:r w:rsidRPr="00274BF8">
        <w:t>c evidence. For those dealings that involve an intentional release of a GMO into</w:t>
      </w:r>
      <w:r>
        <w:t xml:space="preserve"> </w:t>
      </w:r>
      <w:r w:rsidRPr="00274BF8">
        <w:t>the environment (DIR), the legislation requires extensive consultation with expert groups</w:t>
      </w:r>
      <w:r>
        <w:t xml:space="preserve"> </w:t>
      </w:r>
      <w:r w:rsidRPr="00274BF8">
        <w:t>and authorities, government agencies and the public. More data must be submitted</w:t>
      </w:r>
      <w:r>
        <w:t xml:space="preserve"> </w:t>
      </w:r>
      <w:r w:rsidRPr="00274BF8">
        <w:t>for assessment and a more rigorous assessment process is set out than is required for a</w:t>
      </w:r>
      <w:r>
        <w:t xml:space="preserve"> </w:t>
      </w:r>
      <w:r w:rsidRPr="00274BF8">
        <w:t>dealing not involving intentional release of a GMO into the environment (DNIR).</w:t>
      </w:r>
    </w:p>
    <w:p w14:paraId="0E18D663" w14:textId="77777777" w:rsidR="00274BF8" w:rsidRPr="00274BF8" w:rsidRDefault="00274BF8" w:rsidP="00593E43">
      <w:pPr>
        <w:pStyle w:val="Heading3"/>
      </w:pPr>
      <w:r w:rsidRPr="00274BF8">
        <w:t>Time frames</w:t>
      </w:r>
    </w:p>
    <w:p w14:paraId="1EB88BC8" w14:textId="77777777" w:rsidR="00274BF8" w:rsidRPr="00274BF8" w:rsidRDefault="00274BF8" w:rsidP="00593E43">
      <w:r w:rsidRPr="00274BF8">
        <w:t>Under section 43(3) of the Act the Regulator must issue or refuse to issue a licence</w:t>
      </w:r>
      <w:r>
        <w:t xml:space="preserve"> </w:t>
      </w:r>
      <w:r w:rsidRPr="00274BF8">
        <w:t xml:space="preserve">within a time limit prescribed by the Regulations. </w:t>
      </w:r>
      <w:proofErr w:type="gramStart"/>
      <w:r w:rsidRPr="00274BF8">
        <w:t>Similarly</w:t>
      </w:r>
      <w:proofErr w:type="gramEnd"/>
      <w:r w:rsidRPr="00274BF8">
        <w:t xml:space="preserve"> the Regulations prescribe</w:t>
      </w:r>
      <w:r>
        <w:t xml:space="preserve"> </w:t>
      </w:r>
      <w:r w:rsidRPr="00274BF8">
        <w:t>a timeframe for consideration of applications to accredit organisations and to certify</w:t>
      </w:r>
      <w:r>
        <w:t xml:space="preserve"> </w:t>
      </w:r>
      <w:r w:rsidRPr="00274BF8">
        <w:t>facilities. These statutory timeframes are shown in Table 11. They do not include</w:t>
      </w:r>
      <w:r>
        <w:t xml:space="preserve"> </w:t>
      </w:r>
      <w:r w:rsidRPr="00274BF8">
        <w:t>weekends or public holidays in the Australian Capital Territory or periods where the</w:t>
      </w:r>
      <w:r>
        <w:t xml:space="preserve"> </w:t>
      </w:r>
      <w:r w:rsidRPr="00274BF8">
        <w:t>Regulator has requested more information from the applicant, including information</w:t>
      </w:r>
      <w:r>
        <w:t xml:space="preserve"> </w:t>
      </w:r>
      <w:r w:rsidRPr="00274BF8">
        <w:t xml:space="preserve">to resolve a CCI claim, and cannot proceed with the </w:t>
      </w:r>
      <w:proofErr w:type="gramStart"/>
      <w:r w:rsidRPr="00274BF8">
        <w:t>decision making</w:t>
      </w:r>
      <w:proofErr w:type="gramEnd"/>
      <w:r w:rsidRPr="00274BF8">
        <w:t xml:space="preserve"> process until</w:t>
      </w:r>
      <w:r>
        <w:t xml:space="preserve"> </w:t>
      </w:r>
      <w:r w:rsidRPr="00274BF8">
        <w:t>that information has been provided.</w:t>
      </w:r>
    </w:p>
    <w:p w14:paraId="28D73C98" w14:textId="77777777" w:rsidR="00274BF8" w:rsidRDefault="00274BF8" w:rsidP="00274BF8">
      <w:pPr>
        <w:autoSpaceDE w:val="0"/>
        <w:autoSpaceDN w:val="0"/>
        <w:adjustRightInd w:val="0"/>
        <w:spacing w:after="0" w:line="240" w:lineRule="auto"/>
        <w:rPr>
          <w:rFonts w:asciiTheme="minorHAnsi" w:hAnsiTheme="minorHAnsi" w:cstheme="minorHAnsi"/>
        </w:rPr>
      </w:pPr>
    </w:p>
    <w:p w14:paraId="643C4AE3" w14:textId="2B7C70BE" w:rsidR="00274BF8" w:rsidRDefault="00274BF8" w:rsidP="004C0F68">
      <w:pPr>
        <w:rPr>
          <w:b/>
          <w:bCs/>
        </w:rPr>
      </w:pPr>
      <w:r w:rsidRPr="004C0F68">
        <w:rPr>
          <w:b/>
          <w:bCs/>
        </w:rPr>
        <w:lastRenderedPageBreak/>
        <w:t>Table 11: Timeframes under the Act</w:t>
      </w:r>
    </w:p>
    <w:tbl>
      <w:tblPr>
        <w:tblStyle w:val="TableGrid"/>
        <w:tblW w:w="0" w:type="auto"/>
        <w:tblLook w:val="04A0" w:firstRow="1" w:lastRow="0" w:firstColumn="1" w:lastColumn="0" w:noHBand="0" w:noVBand="1"/>
      </w:tblPr>
      <w:tblGrid>
        <w:gridCol w:w="1488"/>
        <w:gridCol w:w="3372"/>
      </w:tblGrid>
      <w:tr w:rsidR="004C0F68" w14:paraId="3CFEBC4F" w14:textId="77777777" w:rsidTr="0077098C">
        <w:tc>
          <w:tcPr>
            <w:tcW w:w="0" w:type="auto"/>
            <w:shd w:val="clear" w:color="auto" w:fill="000000" w:themeFill="text1"/>
          </w:tcPr>
          <w:p w14:paraId="66C59BE6" w14:textId="45569BB1" w:rsidR="004C0F68" w:rsidRDefault="004C0F68" w:rsidP="004C0F68">
            <w:pPr>
              <w:pStyle w:val="Tableheader"/>
            </w:pPr>
            <w:r>
              <w:t>Category</w:t>
            </w:r>
          </w:p>
        </w:tc>
        <w:tc>
          <w:tcPr>
            <w:tcW w:w="0" w:type="auto"/>
            <w:shd w:val="clear" w:color="auto" w:fill="000000" w:themeFill="text1"/>
          </w:tcPr>
          <w:p w14:paraId="45FAAE55" w14:textId="2957BF24" w:rsidR="004C0F68" w:rsidRDefault="004C0F68" w:rsidP="004C0F68">
            <w:pPr>
              <w:pStyle w:val="Tableheader"/>
            </w:pPr>
            <w:r>
              <w:t>Time frame</w:t>
            </w:r>
          </w:p>
        </w:tc>
      </w:tr>
      <w:tr w:rsidR="004C0F68" w14:paraId="20765ECA" w14:textId="77777777" w:rsidTr="0077098C">
        <w:tc>
          <w:tcPr>
            <w:tcW w:w="0" w:type="auto"/>
          </w:tcPr>
          <w:p w14:paraId="138AFCD7" w14:textId="1EE52C9C" w:rsidR="004C0F68" w:rsidRDefault="00DF04EF" w:rsidP="004C0F68">
            <w:r>
              <w:t>DNIR</w:t>
            </w:r>
          </w:p>
        </w:tc>
        <w:tc>
          <w:tcPr>
            <w:tcW w:w="0" w:type="auto"/>
          </w:tcPr>
          <w:p w14:paraId="56128B49" w14:textId="00014006" w:rsidR="004C0F68" w:rsidRDefault="00DF04EF" w:rsidP="004C0F68">
            <w:r w:rsidRPr="00DF04EF">
              <w:t>90 working days (Regulation 8)</w:t>
            </w:r>
          </w:p>
        </w:tc>
      </w:tr>
      <w:tr w:rsidR="004C0F68" w14:paraId="57E22476" w14:textId="77777777" w:rsidTr="0077098C">
        <w:tc>
          <w:tcPr>
            <w:tcW w:w="0" w:type="auto"/>
          </w:tcPr>
          <w:p w14:paraId="781F3B1A" w14:textId="2F7C2487" w:rsidR="004C0F68" w:rsidRDefault="00DF04EF" w:rsidP="004C0F68">
            <w:r>
              <w:t>DIR</w:t>
            </w:r>
          </w:p>
        </w:tc>
        <w:tc>
          <w:tcPr>
            <w:tcW w:w="0" w:type="auto"/>
          </w:tcPr>
          <w:p w14:paraId="612B5ED6" w14:textId="246DE957" w:rsidR="004C0F68" w:rsidRDefault="00DF04EF" w:rsidP="004C0F68">
            <w:r w:rsidRPr="00DF04EF">
              <w:t>170 working days (Regulation 8)</w:t>
            </w:r>
          </w:p>
        </w:tc>
      </w:tr>
      <w:tr w:rsidR="004C0F68" w14:paraId="6441EE9B" w14:textId="77777777" w:rsidTr="0077098C">
        <w:tc>
          <w:tcPr>
            <w:tcW w:w="0" w:type="auto"/>
          </w:tcPr>
          <w:p w14:paraId="199DB237" w14:textId="1829F9E4" w:rsidR="004C0F68" w:rsidRDefault="00DF04EF" w:rsidP="004C0F68">
            <w:r>
              <w:t>Accreditation</w:t>
            </w:r>
          </w:p>
        </w:tc>
        <w:tc>
          <w:tcPr>
            <w:tcW w:w="0" w:type="auto"/>
          </w:tcPr>
          <w:p w14:paraId="51CA984F" w14:textId="55BD1BF6" w:rsidR="004C0F68" w:rsidRDefault="00DF04EF" w:rsidP="004C0F68">
            <w:r w:rsidRPr="00DF04EF">
              <w:t>90 working days (Regulation 16)</w:t>
            </w:r>
          </w:p>
        </w:tc>
      </w:tr>
      <w:tr w:rsidR="004C0F68" w14:paraId="7605F6B7" w14:textId="77777777" w:rsidTr="0077098C">
        <w:tc>
          <w:tcPr>
            <w:tcW w:w="0" w:type="auto"/>
          </w:tcPr>
          <w:p w14:paraId="506B9D54" w14:textId="39F6D05C" w:rsidR="004C0F68" w:rsidRDefault="00DF04EF" w:rsidP="004C0F68">
            <w:r>
              <w:t>Certification</w:t>
            </w:r>
          </w:p>
        </w:tc>
        <w:tc>
          <w:tcPr>
            <w:tcW w:w="0" w:type="auto"/>
          </w:tcPr>
          <w:p w14:paraId="4B7F845E" w14:textId="64CCC527" w:rsidR="004C0F68" w:rsidRDefault="0077098C" w:rsidP="004C0F68">
            <w:r w:rsidRPr="0077098C">
              <w:t>90 working days (Regulation 14)</w:t>
            </w:r>
          </w:p>
        </w:tc>
      </w:tr>
    </w:tbl>
    <w:p w14:paraId="37FD3882" w14:textId="77777777" w:rsidR="00274BF8" w:rsidRPr="00274BF8" w:rsidRDefault="00274BF8" w:rsidP="004C0F68">
      <w:pPr>
        <w:pStyle w:val="Heading3"/>
      </w:pPr>
      <w:r w:rsidRPr="00274BF8">
        <w:t>Dealings involving minimal risks</w:t>
      </w:r>
    </w:p>
    <w:p w14:paraId="70B52C71" w14:textId="77777777" w:rsidR="00274BF8" w:rsidRDefault="00274BF8" w:rsidP="004C0F68">
      <w:r w:rsidRPr="00274BF8">
        <w:t>The GMO register2 is a register provided by the Act (Part 6, Division 3) that lists dealings</w:t>
      </w:r>
      <w:r>
        <w:t xml:space="preserve"> </w:t>
      </w:r>
      <w:r w:rsidRPr="00274BF8">
        <w:t>with a GMO that are, or have been, authorised by a licence previously but have a history</w:t>
      </w:r>
      <w:r>
        <w:t xml:space="preserve"> </w:t>
      </w:r>
      <w:r w:rsidRPr="00274BF8">
        <w:t>of safe use. To be included on the register the Regulator must be satisfied that risks posed</w:t>
      </w:r>
      <w:r>
        <w:t xml:space="preserve"> </w:t>
      </w:r>
      <w:r w:rsidRPr="00274BF8">
        <w:t>by the specific dealings are negligible to human health and safety or to the environment</w:t>
      </w:r>
      <w:r>
        <w:t xml:space="preserve"> </w:t>
      </w:r>
      <w:r w:rsidRPr="00274BF8">
        <w:t>and because of the negligible risks the applicant no longer needs to hold a GMO licence</w:t>
      </w:r>
      <w:r>
        <w:t xml:space="preserve"> </w:t>
      </w:r>
      <w:r w:rsidRPr="00274BF8">
        <w:t>for that dealing. After inclusion on the register these dealings would no longer require</w:t>
      </w:r>
      <w:r>
        <w:t xml:space="preserve"> </w:t>
      </w:r>
      <w:r w:rsidRPr="00274BF8">
        <w:t>authorisation by a licence from the Regulator but may still have conditions attached</w:t>
      </w:r>
      <w:r>
        <w:t xml:space="preserve"> </w:t>
      </w:r>
      <w:r w:rsidRPr="00274BF8">
        <w:t>to their registration. There are currently no GMO dealings on the GMO register. The</w:t>
      </w:r>
      <w:r>
        <w:t xml:space="preserve"> </w:t>
      </w:r>
      <w:r w:rsidRPr="00274BF8">
        <w:t>principles of risk analysis set out in the Risk Analysis Framework are applicable to the</w:t>
      </w:r>
      <w:r>
        <w:t xml:space="preserve"> </w:t>
      </w:r>
      <w:r w:rsidRPr="00274BF8">
        <w:t>determination of whether a GMO should be placed on the GMO register.</w:t>
      </w:r>
    </w:p>
    <w:p w14:paraId="79C19338" w14:textId="77777777" w:rsidR="00274BF8" w:rsidRDefault="00274BF8" w:rsidP="004C0F68">
      <w:r w:rsidRPr="00274BF8">
        <w:t>Exempt dealings are dealings with GMOs that have been assessed over time as posing</w:t>
      </w:r>
      <w:r w:rsidR="007B155A">
        <w:t xml:space="preserve"> </w:t>
      </w:r>
      <w:r w:rsidRPr="00274BF8">
        <w:t>negligible3 risks to people or the environment. They comprise basic molecular biology</w:t>
      </w:r>
      <w:r w:rsidR="007B155A">
        <w:t xml:space="preserve"> </w:t>
      </w:r>
      <w:r w:rsidRPr="00274BF8">
        <w:t>techniques that are used extensively in laboratories worldwide. The criteria for exempt</w:t>
      </w:r>
      <w:r w:rsidR="007B155A">
        <w:t xml:space="preserve"> dealings are specifi</w:t>
      </w:r>
      <w:r w:rsidRPr="00274BF8">
        <w:t>ed in the Regulations (schedule 2). A record of exempt dealings is</w:t>
      </w:r>
      <w:r w:rsidR="007B155A">
        <w:t xml:space="preserve"> </w:t>
      </w:r>
      <w:r w:rsidRPr="00274BF8">
        <w:t>maintained by the IBC of the organisation undertaking the dealing. Such dealings</w:t>
      </w:r>
      <w:r w:rsidR="007B155A">
        <w:t xml:space="preserve"> </w:t>
      </w:r>
      <w:r w:rsidRPr="00274BF8">
        <w:t xml:space="preserve">may </w:t>
      </w:r>
      <w:r w:rsidR="007B155A" w:rsidRPr="00274BF8">
        <w:t xml:space="preserve">only </w:t>
      </w:r>
      <w:r w:rsidR="007B155A">
        <w:t>be</w:t>
      </w:r>
      <w:r w:rsidRPr="00274BF8">
        <w:t xml:space="preserve"> undertaken in a facility which meets the PC1 standards in the Australian/</w:t>
      </w:r>
      <w:r w:rsidR="007B155A">
        <w:t xml:space="preserve"> </w:t>
      </w:r>
      <w:r w:rsidRPr="00274BF8">
        <w:t>New Zealand Standard 2243 (AS/NZS 2243.3 2002) or higher and are reported to the</w:t>
      </w:r>
      <w:r w:rsidR="007B155A">
        <w:t xml:space="preserve"> </w:t>
      </w:r>
      <w:r w:rsidRPr="00274BF8">
        <w:t>OGTR in the organisation’s annual report. If dealings fall within the classification in</w:t>
      </w:r>
      <w:r w:rsidR="007B155A">
        <w:t xml:space="preserve"> </w:t>
      </w:r>
      <w:r w:rsidRPr="00274BF8">
        <w:t xml:space="preserve">the Regulations for exempt </w:t>
      </w:r>
      <w:proofErr w:type="gramStart"/>
      <w:r w:rsidRPr="00274BF8">
        <w:t>dealings</w:t>
      </w:r>
      <w:proofErr w:type="gramEnd"/>
      <w:r w:rsidRPr="00274BF8">
        <w:t xml:space="preserve"> they are not considered to require a case by case</w:t>
      </w:r>
      <w:r w:rsidR="007B155A">
        <w:t xml:space="preserve"> </w:t>
      </w:r>
      <w:r w:rsidRPr="00274BF8">
        <w:t xml:space="preserve">risk assessment. </w:t>
      </w:r>
      <w:r w:rsidR="007B155A">
        <w:t xml:space="preserve"> E</w:t>
      </w:r>
      <w:r w:rsidRPr="00274BF8">
        <w:t>xamples of exempt dealings include:</w:t>
      </w:r>
    </w:p>
    <w:p w14:paraId="4A65B818" w14:textId="77777777" w:rsidR="00274BF8" w:rsidRPr="0077098C" w:rsidRDefault="00274BF8" w:rsidP="009F018E">
      <w:pPr>
        <w:pStyle w:val="ListParagraph"/>
        <w:numPr>
          <w:ilvl w:val="0"/>
          <w:numId w:val="42"/>
        </w:numPr>
      </w:pPr>
      <w:r w:rsidRPr="0077098C">
        <w:t>dealings with GM mice where only specific mouse genes have been deleted or</w:t>
      </w:r>
      <w:r w:rsidR="007B155A" w:rsidRPr="0077098C">
        <w:t xml:space="preserve"> </w:t>
      </w:r>
      <w:r w:rsidRPr="0077098C">
        <w:t>inactivated; or</w:t>
      </w:r>
    </w:p>
    <w:p w14:paraId="3B544F47" w14:textId="77777777" w:rsidR="00274BF8" w:rsidRPr="0077098C" w:rsidRDefault="00274BF8" w:rsidP="009F018E">
      <w:pPr>
        <w:pStyle w:val="ListParagraph"/>
        <w:numPr>
          <w:ilvl w:val="0"/>
          <w:numId w:val="42"/>
        </w:numPr>
      </w:pPr>
      <w:r w:rsidRPr="0077098C">
        <w:t xml:space="preserve">the introduction of naked pieces of DNA into cells of whole animals, </w:t>
      </w:r>
      <w:proofErr w:type="gramStart"/>
      <w:r w:rsidRPr="0077098C">
        <w:t>as long as</w:t>
      </w:r>
      <w:proofErr w:type="gramEnd"/>
      <w:r w:rsidR="007B155A" w:rsidRPr="0077098C">
        <w:t xml:space="preserve"> </w:t>
      </w:r>
      <w:r w:rsidRPr="0077098C">
        <w:t>this is incapable of giving rise to infectious agents; or</w:t>
      </w:r>
    </w:p>
    <w:p w14:paraId="2C72397A" w14:textId="77777777" w:rsidR="00274BF8" w:rsidRPr="0077098C" w:rsidRDefault="00274BF8" w:rsidP="009F018E">
      <w:pPr>
        <w:pStyle w:val="ListParagraph"/>
        <w:numPr>
          <w:ilvl w:val="0"/>
          <w:numId w:val="42"/>
        </w:numPr>
      </w:pPr>
      <w:r w:rsidRPr="0077098C">
        <w:t xml:space="preserve">shotgun cloning of mammalian genes, </w:t>
      </w:r>
      <w:proofErr w:type="gramStart"/>
      <w:r w:rsidRPr="0077098C">
        <w:t>e.g.</w:t>
      </w:r>
      <w:proofErr w:type="gramEnd"/>
      <w:r w:rsidRPr="0077098C">
        <w:t xml:space="preserve"> cloning of kangaroo genes into</w:t>
      </w:r>
      <w:r w:rsidR="007B155A" w:rsidRPr="0077098C">
        <w:t xml:space="preserve"> </w:t>
      </w:r>
      <w:r w:rsidRPr="0077098C">
        <w:t xml:space="preserve">laboratory strains of the bacterium </w:t>
      </w:r>
      <w:proofErr w:type="spellStart"/>
      <w:r w:rsidRPr="0077098C">
        <w:t>escherichia</w:t>
      </w:r>
      <w:proofErr w:type="spellEnd"/>
      <w:r w:rsidRPr="0077098C">
        <w:t xml:space="preserve"> coli.</w:t>
      </w:r>
    </w:p>
    <w:p w14:paraId="50B7252B" w14:textId="77777777" w:rsidR="00274BF8" w:rsidRDefault="00274BF8" w:rsidP="0077098C">
      <w:r w:rsidRPr="00274BF8">
        <w:t>NLRDs are dealings with GMOs that have been assessed over time as posing negligible</w:t>
      </w:r>
      <w:r w:rsidR="007B155A">
        <w:t xml:space="preserve"> </w:t>
      </w:r>
      <w:r w:rsidRPr="00274BF8">
        <w:t>risks provided certain management conditions are met. The criteria for NLRDs are</w:t>
      </w:r>
      <w:r w:rsidR="007B155A">
        <w:t xml:space="preserve"> specifi</w:t>
      </w:r>
      <w:r w:rsidRPr="00274BF8">
        <w:t>ed in the Regulations (Schedule 3). Such dealings may only be undertaken</w:t>
      </w:r>
      <w:r w:rsidR="007B155A">
        <w:t xml:space="preserve"> in a facility certifi</w:t>
      </w:r>
      <w:r w:rsidRPr="00274BF8">
        <w:t>ed by the Regulator (usually PC2 or higher). The dealing must be</w:t>
      </w:r>
      <w:r w:rsidR="007B155A">
        <w:t xml:space="preserve"> </w:t>
      </w:r>
      <w:r w:rsidRPr="00274BF8">
        <w:t xml:space="preserve">considered by </w:t>
      </w:r>
      <w:r w:rsidR="007B155A">
        <w:t>an IBC and the Regulator notifi</w:t>
      </w:r>
      <w:r w:rsidRPr="00274BF8">
        <w:t>ed of the approval of the dealing within</w:t>
      </w:r>
      <w:r w:rsidR="007B155A">
        <w:t xml:space="preserve"> </w:t>
      </w:r>
      <w:r w:rsidRPr="00274BF8">
        <w:t>14 days. NLRDs are included on the record of GMO and GM product dealings (see</w:t>
      </w:r>
      <w:r w:rsidR="007B155A">
        <w:t xml:space="preserve"> </w:t>
      </w:r>
      <w:r w:rsidRPr="00274BF8">
        <w:t>below) but do not require case by case risk assessment. Examples of NLRDs include:</w:t>
      </w:r>
    </w:p>
    <w:p w14:paraId="7E82767E" w14:textId="77777777" w:rsidR="00274BF8" w:rsidRPr="0077098C" w:rsidRDefault="00274BF8" w:rsidP="009F018E">
      <w:pPr>
        <w:pStyle w:val="ListParagraph"/>
        <w:numPr>
          <w:ilvl w:val="0"/>
          <w:numId w:val="43"/>
        </w:numPr>
      </w:pPr>
      <w:r w:rsidRPr="0077098C">
        <w:lastRenderedPageBreak/>
        <w:t>dealings with whole animals that produce a new GM animal and where the</w:t>
      </w:r>
      <w:r w:rsidR="007B155A" w:rsidRPr="0077098C">
        <w:t xml:space="preserve"> </w:t>
      </w:r>
      <w:r w:rsidRPr="0077098C">
        <w:t>new trait can be passed on to the animal’s offspring, but the animal is housed</w:t>
      </w:r>
      <w:r w:rsidR="007B155A" w:rsidRPr="0077098C">
        <w:t xml:space="preserve"> </w:t>
      </w:r>
      <w:r w:rsidRPr="0077098C">
        <w:t>in contained conditions; or</w:t>
      </w:r>
    </w:p>
    <w:p w14:paraId="6E08C9F0" w14:textId="77777777" w:rsidR="00274BF8" w:rsidRPr="0077098C" w:rsidRDefault="007B155A" w:rsidP="009F018E">
      <w:pPr>
        <w:pStyle w:val="ListParagraph"/>
        <w:numPr>
          <w:ilvl w:val="0"/>
          <w:numId w:val="43"/>
        </w:numPr>
      </w:pPr>
      <w:r w:rsidRPr="0077098C">
        <w:t>dealings with GM fl</w:t>
      </w:r>
      <w:r w:rsidR="00274BF8" w:rsidRPr="0077098C">
        <w:t>owering plants where all pollen and seed are contained.</w:t>
      </w:r>
    </w:p>
    <w:p w14:paraId="6237FA4A" w14:textId="77777777" w:rsidR="007B155A" w:rsidRDefault="007B155A">
      <w:pPr>
        <w:rPr>
          <w:rFonts w:asciiTheme="minorHAnsi" w:hAnsiTheme="minorHAnsi" w:cstheme="minorHAnsi"/>
        </w:rPr>
      </w:pPr>
      <w:r>
        <w:rPr>
          <w:rFonts w:asciiTheme="minorHAnsi" w:hAnsiTheme="minorHAnsi" w:cstheme="minorHAnsi"/>
        </w:rPr>
        <w:br w:type="page"/>
      </w:r>
    </w:p>
    <w:p w14:paraId="1889DDB3" w14:textId="77777777" w:rsidR="00274BF8" w:rsidRPr="007B155A" w:rsidRDefault="00274BF8" w:rsidP="0077098C">
      <w:pPr>
        <w:pStyle w:val="Heading3"/>
      </w:pPr>
      <w:r w:rsidRPr="007B155A">
        <w:lastRenderedPageBreak/>
        <w:t>Licensed dealings</w:t>
      </w:r>
    </w:p>
    <w:p w14:paraId="46CCEDC4" w14:textId="77777777" w:rsidR="00274BF8" w:rsidRPr="0077098C" w:rsidRDefault="00274BF8" w:rsidP="0077098C">
      <w:r w:rsidRPr="0077098C">
        <w:t xml:space="preserve">Any dealing </w:t>
      </w:r>
      <w:proofErr w:type="gramStart"/>
      <w:r w:rsidRPr="0077098C">
        <w:t>not exempt</w:t>
      </w:r>
      <w:proofErr w:type="gramEnd"/>
      <w:r w:rsidRPr="0077098C">
        <w:t>, NLRD or on the GMO register must not be conducted</w:t>
      </w:r>
      <w:r w:rsidR="007B155A" w:rsidRPr="0077098C">
        <w:t xml:space="preserve"> </w:t>
      </w:r>
      <w:r w:rsidRPr="0077098C">
        <w:t>unless licensed.</w:t>
      </w:r>
    </w:p>
    <w:p w14:paraId="73F67370" w14:textId="77777777" w:rsidR="00274BF8" w:rsidRPr="0077098C" w:rsidRDefault="00274BF8" w:rsidP="0077098C">
      <w:r w:rsidRPr="0077098C">
        <w:t xml:space="preserve">Licence applications are considered on a </w:t>
      </w:r>
      <w:proofErr w:type="gramStart"/>
      <w:r w:rsidRPr="0077098C">
        <w:t>case by case</w:t>
      </w:r>
      <w:proofErr w:type="gramEnd"/>
      <w:r w:rsidRPr="0077098C">
        <w:t xml:space="preserve"> basis by the Regulator, who must</w:t>
      </w:r>
      <w:r w:rsidR="00FF01E5" w:rsidRPr="0077098C">
        <w:t xml:space="preserve"> </w:t>
      </w:r>
      <w:r w:rsidRPr="0077098C">
        <w:t>consider whether the risks posed by the dealing can be managed to protect human</w:t>
      </w:r>
      <w:r w:rsidR="00FF01E5" w:rsidRPr="0077098C">
        <w:t xml:space="preserve"> </w:t>
      </w:r>
      <w:r w:rsidRPr="0077098C">
        <w:t xml:space="preserve">health and safety and the environment. The Regulator must </w:t>
      </w:r>
      <w:proofErr w:type="gramStart"/>
      <w:r w:rsidRPr="0077098C">
        <w:t>make a decision</w:t>
      </w:r>
      <w:proofErr w:type="gramEnd"/>
      <w:r w:rsidRPr="0077098C">
        <w:t xml:space="preserve"> on</w:t>
      </w:r>
      <w:r w:rsidR="00FF01E5" w:rsidRPr="0077098C">
        <w:t xml:space="preserve"> </w:t>
      </w:r>
      <w:r w:rsidRPr="0077098C">
        <w:t>whether to issue a licence to allow the conduct of that dealing and the management</w:t>
      </w:r>
      <w:r w:rsidR="00FF01E5" w:rsidRPr="0077098C">
        <w:t xml:space="preserve"> </w:t>
      </w:r>
      <w:r w:rsidRPr="0077098C">
        <w:t>conditions to be imposed to manage any risks.</w:t>
      </w:r>
    </w:p>
    <w:p w14:paraId="2E14E432" w14:textId="77777777" w:rsidR="00274BF8" w:rsidRPr="0077098C" w:rsidRDefault="00274BF8" w:rsidP="0077098C">
      <w:r w:rsidRPr="0077098C">
        <w:t xml:space="preserve">The legislation sets out a series of actions the Regulator must </w:t>
      </w:r>
      <w:proofErr w:type="gramStart"/>
      <w:r w:rsidRPr="0077098C">
        <w:t>take into account</w:t>
      </w:r>
      <w:proofErr w:type="gramEnd"/>
      <w:r w:rsidRPr="0077098C">
        <w:t xml:space="preserve"> in</w:t>
      </w:r>
      <w:r w:rsidR="00FF01E5" w:rsidRPr="0077098C">
        <w:t xml:space="preserve"> </w:t>
      </w:r>
      <w:r w:rsidRPr="0077098C">
        <w:t>consideration of applications for licences for both for contained dealings (DNIRs)</w:t>
      </w:r>
      <w:r w:rsidR="00FF01E5" w:rsidRPr="0077098C">
        <w:t xml:space="preserve"> </w:t>
      </w:r>
      <w:r w:rsidRPr="0077098C">
        <w:t>and those involving intentional release (DIRs). The Act details steps that must be</w:t>
      </w:r>
      <w:r w:rsidR="00FF01E5" w:rsidRPr="0077098C">
        <w:t xml:space="preserve"> </w:t>
      </w:r>
      <w:r w:rsidRPr="0077098C">
        <w:t xml:space="preserve">taken </w:t>
      </w:r>
      <w:proofErr w:type="gramStart"/>
      <w:r w:rsidRPr="0077098C">
        <w:t>in regard to</w:t>
      </w:r>
      <w:proofErr w:type="gramEnd"/>
      <w:r w:rsidRPr="0077098C">
        <w:t xml:space="preserve"> the assessment of the application, while the Regulations detail the</w:t>
      </w:r>
      <w:r w:rsidR="00FF01E5" w:rsidRPr="0077098C">
        <w:t xml:space="preserve"> </w:t>
      </w:r>
      <w:r w:rsidRPr="0077098C">
        <w:t>information that must be provided by the applicant.</w:t>
      </w:r>
    </w:p>
    <w:p w14:paraId="2B9B26CA" w14:textId="77777777" w:rsidR="00FF01E5" w:rsidRPr="0077098C" w:rsidRDefault="00FF01E5" w:rsidP="0077098C">
      <w:r w:rsidRPr="0077098C">
        <w:t>For both DNIRs and DIRs the Regulations require the applicant to identify risks that the dealings may pose to human health and safety and the environment and any measures proposed to manage those risks. Both also require the IBC to have scrutinised the application to provide an evaluation report assessing the risk identification and the management proposals of the applicant.</w:t>
      </w:r>
    </w:p>
    <w:p w14:paraId="7FBA5216" w14:textId="77777777" w:rsidR="00FF01E5" w:rsidRPr="0077098C" w:rsidRDefault="00FF01E5" w:rsidP="0077098C">
      <w:r w:rsidRPr="0077098C">
        <w:t>The legislation requires the Regulator to prepare a RARMP for both DNIR and DIR applications. The risk assessment takes account of any risks to human health and safety and the environment posed by the dealing and the risk management plan determines how these risks can be managed. The Risk Analysis Framework was developed by the Regulator to inform applicants, OGTR evaluators and interested others how standards are applied to the assessment process.</w:t>
      </w:r>
    </w:p>
    <w:p w14:paraId="602AD8C6" w14:textId="77777777" w:rsidR="00FF01E5" w:rsidRPr="0077098C" w:rsidRDefault="00FF01E5" w:rsidP="0077098C">
      <w:r w:rsidRPr="0077098C">
        <w:t>The requirements of the legislation have been framed to place greater scrutiny on dealings that involve release to the environment (DIRs). The Regulator may impose conditions on all licences. In relation to field trials under limited and controlled conditions, measures are imposed to limit the persistence and spread of the GMO and its genetic material. Non-compliance with conditions placed on licences issued under the Act is a criminal offence.</w:t>
      </w:r>
    </w:p>
    <w:p w14:paraId="1592D370" w14:textId="77777777" w:rsidR="00FF01E5" w:rsidRPr="0077098C" w:rsidRDefault="00FF01E5" w:rsidP="0077098C">
      <w:r w:rsidRPr="0077098C">
        <w:t xml:space="preserve">For both DNIR and DIR applications the applicant must provide information specified in the Regulations as to their suitability to hold a licence. This information includes any relevant convictions, </w:t>
      </w:r>
      <w:proofErr w:type="gramStart"/>
      <w:r w:rsidRPr="0077098C">
        <w:t>revocations</w:t>
      </w:r>
      <w:proofErr w:type="gramEnd"/>
      <w:r w:rsidRPr="0077098C">
        <w:t xml:space="preserve"> or suspensions of licences under laws relating to human health and safety or the environment and an assessment of the applicant’s capacity to manage any risks posed by the proposed dealings.</w:t>
      </w:r>
    </w:p>
    <w:p w14:paraId="1A481C86" w14:textId="77777777" w:rsidR="00FF01E5" w:rsidRPr="00FF01E5" w:rsidRDefault="00FF01E5" w:rsidP="0077098C">
      <w:pPr>
        <w:pStyle w:val="Heading3"/>
      </w:pPr>
      <w:r w:rsidRPr="00FF01E5">
        <w:t>Dealings not involving intentional release</w:t>
      </w:r>
    </w:p>
    <w:p w14:paraId="1A177020" w14:textId="77777777" w:rsidR="00FF01E5" w:rsidRPr="0077098C" w:rsidRDefault="00FF01E5" w:rsidP="0077098C">
      <w:r w:rsidRPr="0077098C">
        <w:t>DNIRs usually take place under specified physical containment conditions in certified facilities, which minimise risks to the environment. The Act requires an assessment of the risks of the dealing and preparation of a RARMP with associated licence conditions to manage the risks for DNIR applications.</w:t>
      </w:r>
    </w:p>
    <w:p w14:paraId="6376A8F4" w14:textId="77777777" w:rsidR="00FF01E5" w:rsidRPr="0077098C" w:rsidRDefault="00FF01E5" w:rsidP="0077098C">
      <w:r w:rsidRPr="0077098C">
        <w:t>The legislation does not require the Regulator to consult in relation to DNIR licence applications. Presently, advice is sought from the GTTAC and the State or Territory in which the dealings are proposed to take place during the preparation of the RARMPs for all new DNIR applications.</w:t>
      </w:r>
    </w:p>
    <w:p w14:paraId="5C2048EE" w14:textId="77777777" w:rsidR="00FF01E5" w:rsidRPr="0077098C" w:rsidRDefault="00FF01E5" w:rsidP="0077098C">
      <w:r w:rsidRPr="0077098C">
        <w:lastRenderedPageBreak/>
        <w:t>The Regulator considers the RARMP in deciding whether to issue a licence and in determining the licence conditions that should be imposed. Typical licence conditions require the applicant to conduct the dealing in certified facilities, to follow particular handling requirements (</w:t>
      </w:r>
      <w:proofErr w:type="gramStart"/>
      <w:r w:rsidRPr="0077098C">
        <w:t>e.g.</w:t>
      </w:r>
      <w:proofErr w:type="gramEnd"/>
      <w:r w:rsidRPr="0077098C">
        <w:t xml:space="preserve"> avoiding the use of ‘sharps’ and using biosafety cabinets), to train and supervise staff, to dispose of and transport the GMO appropriately, and to have, and implement contingency plans.</w:t>
      </w:r>
    </w:p>
    <w:p w14:paraId="1674023C" w14:textId="77777777" w:rsidR="00FF01E5" w:rsidRPr="00E70AE3" w:rsidRDefault="00FF01E5" w:rsidP="0077098C">
      <w:pPr>
        <w:pStyle w:val="Heading3"/>
      </w:pPr>
      <w:r w:rsidRPr="00E70AE3">
        <w:t>Dealings involving intentional release</w:t>
      </w:r>
    </w:p>
    <w:p w14:paraId="726324D8" w14:textId="77777777" w:rsidR="00FF01E5" w:rsidRPr="0077098C" w:rsidRDefault="00FF01E5" w:rsidP="0077098C">
      <w:r w:rsidRPr="0077098C">
        <w:t>The Act makes no distinction between small-scale ‘field trial’ releases under limited and controlled conditions and releases intended to be of a general or commercial scale.</w:t>
      </w:r>
    </w:p>
    <w:p w14:paraId="1268D499" w14:textId="77777777" w:rsidR="00FF01E5" w:rsidRPr="0077098C" w:rsidRDefault="00FF01E5" w:rsidP="0077098C">
      <w:r w:rsidRPr="0077098C">
        <w:t>This Framework specifies the approach taken to risk analysis, which forms an integral part of each RARMP.</w:t>
      </w:r>
    </w:p>
    <w:p w14:paraId="4828C60F" w14:textId="77777777" w:rsidR="00FF01E5" w:rsidRPr="00FF01E5" w:rsidRDefault="00FF01E5" w:rsidP="0077098C">
      <w:r w:rsidRPr="00FF01E5">
        <w:rPr>
          <w:b/>
        </w:rPr>
        <w:t>Stage 1 —</w:t>
      </w:r>
      <w:r w:rsidRPr="00FF01E5">
        <w:t xml:space="preserve"> The </w:t>
      </w:r>
      <w:r w:rsidRPr="0077098C">
        <w:t>applicant</w:t>
      </w:r>
      <w:r w:rsidRPr="00FF01E5">
        <w:t xml:space="preserve"> must prepare: comprehensive information about the</w:t>
      </w:r>
      <w:r>
        <w:t xml:space="preserve"> </w:t>
      </w:r>
      <w:r w:rsidRPr="00FF01E5">
        <w:t>proposed dealings with the GMO; possible hazards and consequent risks posed by the</w:t>
      </w:r>
      <w:r>
        <w:t xml:space="preserve"> </w:t>
      </w:r>
      <w:r w:rsidRPr="00FF01E5">
        <w:t>dealings with the GMO; and proposed ways that each of the risks can be managed.</w:t>
      </w:r>
    </w:p>
    <w:p w14:paraId="5F42FAEC" w14:textId="77777777" w:rsidR="00FF01E5" w:rsidRDefault="00FF01E5" w:rsidP="0077098C">
      <w:r w:rsidRPr="00FF01E5">
        <w:t>The Regulator’s information requirements are set out in detail in the Regulations and</w:t>
      </w:r>
      <w:r>
        <w:t xml:space="preserve"> </w:t>
      </w:r>
      <w:r w:rsidRPr="00FF01E5">
        <w:t>the application forms for intentional release dealings with the GMOs. The applicant</w:t>
      </w:r>
      <w:r>
        <w:t xml:space="preserve"> </w:t>
      </w:r>
      <w:r w:rsidRPr="00FF01E5">
        <w:t>must ensure that all responses are supported by appropriate data and literature</w:t>
      </w:r>
      <w:r>
        <w:t xml:space="preserve"> </w:t>
      </w:r>
      <w:r w:rsidRPr="00FF01E5">
        <w:t>citations. Wherever possible quantitative data should be provided. It is expected that</w:t>
      </w:r>
      <w:r>
        <w:t xml:space="preserve"> </w:t>
      </w:r>
      <w:r w:rsidRPr="00FF01E5">
        <w:t>the applicants will collect relevant data during contained work and early trials for</w:t>
      </w:r>
      <w:r>
        <w:t xml:space="preserve"> </w:t>
      </w:r>
      <w:r w:rsidRPr="00FF01E5">
        <w:t>dealings involving intentional</w:t>
      </w:r>
      <w:r>
        <w:t xml:space="preserve"> </w:t>
      </w:r>
      <w:r w:rsidRPr="00FF01E5">
        <w:t>release of GMOs.</w:t>
      </w:r>
    </w:p>
    <w:p w14:paraId="6CAAA803" w14:textId="77777777" w:rsidR="00FF01E5" w:rsidRDefault="00FF01E5" w:rsidP="0077098C">
      <w:r w:rsidRPr="005315F9">
        <w:rPr>
          <w:b/>
        </w:rPr>
        <w:t>Stage 2 —</w:t>
      </w:r>
      <w:r w:rsidRPr="00FF01E5">
        <w:t xml:space="preserve"> The IBC reviews the application and provides the Regulator with an</w:t>
      </w:r>
      <w:r w:rsidR="005315F9">
        <w:t xml:space="preserve"> </w:t>
      </w:r>
      <w:r w:rsidRPr="00FF01E5">
        <w:t>evaluation report setting out its advice as to the completeness of the applicant’s</w:t>
      </w:r>
      <w:r w:rsidR="005315F9">
        <w:t xml:space="preserve"> </w:t>
      </w:r>
      <w:r w:rsidR="005315F9" w:rsidRPr="0077098C">
        <w:t>hazard</w:t>
      </w:r>
      <w:r w:rsidR="005315F9">
        <w:t xml:space="preserve"> identifi</w:t>
      </w:r>
      <w:r w:rsidRPr="00FF01E5">
        <w:t>cation, risk assessment and proposed risk management strategies. The</w:t>
      </w:r>
      <w:r w:rsidR="005315F9">
        <w:t xml:space="preserve"> </w:t>
      </w:r>
      <w:r w:rsidRPr="00FF01E5">
        <w:t>IBC’s role is to ensure the quality of applications submitted to the Regulator.</w:t>
      </w:r>
    </w:p>
    <w:p w14:paraId="1691384E" w14:textId="77777777" w:rsidR="00FF01E5" w:rsidRDefault="00FF01E5" w:rsidP="0077098C">
      <w:r w:rsidRPr="005315F9">
        <w:rPr>
          <w:b/>
        </w:rPr>
        <w:t>Stage 3 —</w:t>
      </w:r>
      <w:r w:rsidRPr="00FF01E5">
        <w:t xml:space="preserve"> Section 49 of the Act </w:t>
      </w:r>
      <w:r w:rsidRPr="0077098C">
        <w:t>requires</w:t>
      </w:r>
      <w:r w:rsidRPr="00FF01E5">
        <w:t xml:space="preserve"> the Regulator to make an initial</w:t>
      </w:r>
      <w:r w:rsidR="005315F9">
        <w:t xml:space="preserve"> </w:t>
      </w:r>
      <w:r w:rsidRPr="00FF01E5">
        <w:t>consideration of whether any of the proposed dealings in a DIR application may pose</w:t>
      </w:r>
      <w:r w:rsidR="005315F9">
        <w:t xml:space="preserve"> </w:t>
      </w:r>
      <w:r w:rsidRPr="00FF01E5">
        <w:t>a significant risk to the health and safety of people or the environment. Under Section</w:t>
      </w:r>
      <w:r w:rsidR="005315F9">
        <w:t xml:space="preserve"> </w:t>
      </w:r>
      <w:r w:rsidRPr="00FF01E5">
        <w:t>49(2) of the Act the Regulator must consider:</w:t>
      </w:r>
    </w:p>
    <w:p w14:paraId="4AA36EE1" w14:textId="73031B2F" w:rsidR="00FF01E5" w:rsidRPr="0077098C" w:rsidRDefault="00FF01E5" w:rsidP="009F018E">
      <w:pPr>
        <w:pStyle w:val="ListParagraph"/>
        <w:numPr>
          <w:ilvl w:val="0"/>
          <w:numId w:val="44"/>
        </w:numPr>
      </w:pPr>
      <w:r w:rsidRPr="0077098C">
        <w:t>the properties of the organism to which the dealings relate before it became, or</w:t>
      </w:r>
      <w:r w:rsidR="005315F9" w:rsidRPr="0077098C">
        <w:t xml:space="preserve"> </w:t>
      </w:r>
      <w:r w:rsidRPr="0077098C">
        <w:t xml:space="preserve">will become, a </w:t>
      </w:r>
      <w:proofErr w:type="gramStart"/>
      <w:r w:rsidRPr="0077098C">
        <w:t>GMO;</w:t>
      </w:r>
      <w:proofErr w:type="gramEnd"/>
    </w:p>
    <w:p w14:paraId="7AE1785D" w14:textId="045B355B" w:rsidR="00FF01E5" w:rsidRPr="0077098C" w:rsidRDefault="00FF01E5" w:rsidP="009F018E">
      <w:pPr>
        <w:pStyle w:val="ListParagraph"/>
        <w:numPr>
          <w:ilvl w:val="0"/>
          <w:numId w:val="44"/>
        </w:numPr>
      </w:pPr>
      <w:r w:rsidRPr="0077098C">
        <w:t>the effect, or the expecte</w:t>
      </w:r>
      <w:r w:rsidR="005315F9" w:rsidRPr="0077098C">
        <w:t>d effect, of the genetic modifi</w:t>
      </w:r>
      <w:r w:rsidRPr="0077098C">
        <w:t>cations that have</w:t>
      </w:r>
      <w:r w:rsidR="005315F9" w:rsidRPr="0077098C">
        <w:t xml:space="preserve"> </w:t>
      </w:r>
      <w:r w:rsidRPr="0077098C">
        <w:t xml:space="preserve">occurred, or will occur, on the properties of the </w:t>
      </w:r>
      <w:proofErr w:type="gramStart"/>
      <w:r w:rsidRPr="0077098C">
        <w:t>organism;</w:t>
      </w:r>
      <w:proofErr w:type="gramEnd"/>
    </w:p>
    <w:p w14:paraId="36D384B1" w14:textId="3301A09C" w:rsidR="00FF01E5" w:rsidRPr="0077098C" w:rsidRDefault="00FF01E5" w:rsidP="009F018E">
      <w:pPr>
        <w:pStyle w:val="ListParagraph"/>
        <w:numPr>
          <w:ilvl w:val="0"/>
          <w:numId w:val="44"/>
        </w:numPr>
      </w:pPr>
      <w:r w:rsidRPr="0077098C">
        <w:t>provisions for limiting the dissemination or persistence of the GMO or its</w:t>
      </w:r>
      <w:r w:rsidR="005315F9" w:rsidRPr="0077098C">
        <w:t xml:space="preserve"> </w:t>
      </w:r>
      <w:r w:rsidRPr="0077098C">
        <w:t xml:space="preserve">genetic material in the </w:t>
      </w:r>
      <w:proofErr w:type="gramStart"/>
      <w:r w:rsidRPr="0077098C">
        <w:t>environment;</w:t>
      </w:r>
      <w:proofErr w:type="gramEnd"/>
    </w:p>
    <w:p w14:paraId="6B964C58" w14:textId="2778AF86" w:rsidR="00FF01E5" w:rsidRPr="0077098C" w:rsidRDefault="00FF01E5" w:rsidP="009F018E">
      <w:pPr>
        <w:pStyle w:val="ListParagraph"/>
        <w:numPr>
          <w:ilvl w:val="0"/>
          <w:numId w:val="44"/>
        </w:numPr>
      </w:pPr>
      <w:r w:rsidRPr="0077098C">
        <w:t>the potential for spread or persistence of the GMO or its genetic material in the</w:t>
      </w:r>
      <w:r w:rsidR="005315F9" w:rsidRPr="0077098C">
        <w:t xml:space="preserve"> </w:t>
      </w:r>
      <w:proofErr w:type="gramStart"/>
      <w:r w:rsidRPr="0077098C">
        <w:t>environment;</w:t>
      </w:r>
      <w:proofErr w:type="gramEnd"/>
    </w:p>
    <w:p w14:paraId="7FFBC832" w14:textId="21B5DAE3" w:rsidR="00FF01E5" w:rsidRPr="0077098C" w:rsidRDefault="00FF01E5" w:rsidP="009F018E">
      <w:pPr>
        <w:pStyle w:val="ListParagraph"/>
        <w:numPr>
          <w:ilvl w:val="0"/>
          <w:numId w:val="44"/>
        </w:numPr>
      </w:pPr>
      <w:r w:rsidRPr="0077098C">
        <w:t>the extent or scale of the proposed dealings; and</w:t>
      </w:r>
    </w:p>
    <w:p w14:paraId="793C2CA8" w14:textId="4BC50227" w:rsidR="00FF01E5" w:rsidRPr="0077098C" w:rsidRDefault="00FF01E5" w:rsidP="009F018E">
      <w:pPr>
        <w:pStyle w:val="ListParagraph"/>
        <w:numPr>
          <w:ilvl w:val="0"/>
          <w:numId w:val="44"/>
        </w:numPr>
      </w:pPr>
      <w:r w:rsidRPr="0077098C">
        <w:t>any likely impacts of the proposed dealings on the health and safety of people.</w:t>
      </w:r>
    </w:p>
    <w:p w14:paraId="13A1B171" w14:textId="77777777" w:rsidR="0084116C" w:rsidRDefault="00FF01E5" w:rsidP="00910AE7">
      <w:r w:rsidRPr="005315F9">
        <w:rPr>
          <w:b/>
        </w:rPr>
        <w:t>Stage 4 —</w:t>
      </w:r>
      <w:r w:rsidRPr="00FF01E5">
        <w:t xml:space="preserve"> If the Regulator considers that the proposed dealings with the GMO could</w:t>
      </w:r>
      <w:r w:rsidR="005315F9">
        <w:t xml:space="preserve"> </w:t>
      </w:r>
      <w:r w:rsidRPr="00FF01E5">
        <w:t xml:space="preserve">have a significant </w:t>
      </w:r>
      <w:r w:rsidRPr="00910AE7">
        <w:t>impact</w:t>
      </w:r>
      <w:r w:rsidRPr="00FF01E5">
        <w:t xml:space="preserve"> on the health and safety of people or the environment, the</w:t>
      </w:r>
      <w:r w:rsidR="005315F9">
        <w:t xml:space="preserve"> </w:t>
      </w:r>
      <w:r w:rsidRPr="00FF01E5">
        <w:t>Regulator</w:t>
      </w:r>
      <w:r w:rsidR="005315F9">
        <w:t xml:space="preserve"> </w:t>
      </w:r>
      <w:r w:rsidRPr="00FF01E5">
        <w:t>must call for public submissions on the application including seeking advice</w:t>
      </w:r>
      <w:r w:rsidR="005315F9">
        <w:t xml:space="preserve"> </w:t>
      </w:r>
      <w:r w:rsidRPr="00FF01E5">
        <w:t>on the possible</w:t>
      </w:r>
      <w:r w:rsidR="005315F9">
        <w:t xml:space="preserve"> </w:t>
      </w:r>
      <w:r w:rsidRPr="00FF01E5">
        <w:t>risks and means of managing the risks.</w:t>
      </w:r>
    </w:p>
    <w:p w14:paraId="36F8D888" w14:textId="204F0870" w:rsidR="005315F9" w:rsidRPr="005315F9" w:rsidRDefault="00FF01E5" w:rsidP="00910AE7">
      <w:r w:rsidRPr="00FF01E5">
        <w:lastRenderedPageBreak/>
        <w:t xml:space="preserve">In addition, if </w:t>
      </w:r>
      <w:r w:rsidRPr="00910AE7">
        <w:t>the</w:t>
      </w:r>
      <w:r w:rsidRPr="00FF01E5">
        <w:t xml:space="preserve"> Regulator</w:t>
      </w:r>
      <w:r w:rsidR="0084116C">
        <w:t xml:space="preserve"> </w:t>
      </w:r>
      <w:r w:rsidR="005315F9" w:rsidRPr="005315F9">
        <w:t>deems it necessary,</w:t>
      </w:r>
      <w:r w:rsidR="0084116C">
        <w:t xml:space="preserve"> </w:t>
      </w:r>
      <w:r w:rsidR="005315F9" w:rsidRPr="005315F9">
        <w:t>public submissions can be invited on any application, for example</w:t>
      </w:r>
      <w:r w:rsidR="0084116C">
        <w:t xml:space="preserve"> </w:t>
      </w:r>
      <w:r w:rsidR="005315F9" w:rsidRPr="005315F9">
        <w:t>for a novel GMO. The Regulator is required to advertise in a</w:t>
      </w:r>
      <w:r w:rsidR="003D456A">
        <w:t xml:space="preserve"> </w:t>
      </w:r>
      <w:r w:rsidR="005315F9" w:rsidRPr="005315F9">
        <w:t>national newspaper, in</w:t>
      </w:r>
      <w:r w:rsidR="0084116C">
        <w:t xml:space="preserve"> </w:t>
      </w:r>
      <w:r w:rsidR="005315F9" w:rsidRPr="005315F9">
        <w:t>the Australian Government Gazette and place notices on the</w:t>
      </w:r>
      <w:r w:rsidR="003D456A">
        <w:t xml:space="preserve"> </w:t>
      </w:r>
      <w:r w:rsidR="005315F9" w:rsidRPr="005315F9">
        <w:t>Regulator’s website. In</w:t>
      </w:r>
      <w:r w:rsidR="003D456A">
        <w:t xml:space="preserve"> </w:t>
      </w:r>
      <w:r w:rsidR="005315F9" w:rsidRPr="005315F9">
        <w:t>practice the Regulator advertises more broadly, including regional newspapers and</w:t>
      </w:r>
      <w:r w:rsidR="003D456A">
        <w:t xml:space="preserve"> </w:t>
      </w:r>
      <w:r w:rsidR="005315F9" w:rsidRPr="005315F9">
        <w:t>specialist interest press and will advise, by mail or email, to all persons that have</w:t>
      </w:r>
      <w:r w:rsidR="003D456A">
        <w:t xml:space="preserve"> </w:t>
      </w:r>
      <w:r w:rsidR="005315F9" w:rsidRPr="005315F9">
        <w:t>registered their interest in receiving such information on the OGTR mailing lists.</w:t>
      </w:r>
    </w:p>
    <w:p w14:paraId="03979DBF" w14:textId="77777777" w:rsidR="005315F9" w:rsidRDefault="005315F9" w:rsidP="00910AE7">
      <w:r w:rsidRPr="005315F9">
        <w:t xml:space="preserve">The Regulator </w:t>
      </w:r>
      <w:r w:rsidRPr="00910AE7">
        <w:t>must</w:t>
      </w:r>
      <w:r w:rsidRPr="005315F9">
        <w:t xml:space="preserve"> provide a copy of the application (excluding any information that</w:t>
      </w:r>
      <w:r w:rsidR="003D456A">
        <w:t xml:space="preserve"> </w:t>
      </w:r>
      <w:r w:rsidRPr="005315F9">
        <w:t>the Regulator has declared to be confidential commercial information) to anyone that</w:t>
      </w:r>
      <w:r w:rsidR="003D456A">
        <w:t xml:space="preserve"> </w:t>
      </w:r>
      <w:r w:rsidRPr="005315F9">
        <w:t>requests a copy.</w:t>
      </w:r>
    </w:p>
    <w:p w14:paraId="7D5615B7" w14:textId="77777777" w:rsidR="005315F9" w:rsidRDefault="005315F9" w:rsidP="00910AE7">
      <w:r w:rsidRPr="003D456A">
        <w:rPr>
          <w:b/>
        </w:rPr>
        <w:t>Stage 5 —</w:t>
      </w:r>
      <w:r w:rsidRPr="005315F9">
        <w:t xml:space="preserve"> Irrespective of whether the Regulator initially considers that the dealing</w:t>
      </w:r>
      <w:r w:rsidR="00AD2F49">
        <w:t xml:space="preserve"> </w:t>
      </w:r>
      <w:r w:rsidR="003D456A">
        <w:t>may pose signifi</w:t>
      </w:r>
      <w:r w:rsidRPr="005315F9">
        <w:t xml:space="preserve">cant risks or not, the </w:t>
      </w:r>
      <w:r w:rsidRPr="00910AE7">
        <w:t>Regulator</w:t>
      </w:r>
      <w:r w:rsidRPr="005315F9">
        <w:t xml:space="preserve"> must seek advice on matters relevant</w:t>
      </w:r>
      <w:r w:rsidR="00AD2F49">
        <w:t xml:space="preserve"> </w:t>
      </w:r>
      <w:r w:rsidRPr="005315F9">
        <w:t>to the preparation of the RARMP under section 50 of the Act from the Australian</w:t>
      </w:r>
      <w:r w:rsidR="00AD2F49">
        <w:t xml:space="preserve"> </w:t>
      </w:r>
      <w:r w:rsidRPr="005315F9">
        <w:t>Government Environment Minister, GTTAC, the States and Territories, prescribed</w:t>
      </w:r>
      <w:r w:rsidR="00AD2F49">
        <w:t xml:space="preserve"> </w:t>
      </w:r>
      <w:r w:rsidRPr="005315F9">
        <w:t>Australian Government agencies and appropriate Local Government Authorities. The</w:t>
      </w:r>
      <w:r w:rsidR="00AD2F49">
        <w:t xml:space="preserve"> </w:t>
      </w:r>
      <w:r w:rsidRPr="005315F9">
        <w:t>Regulator usually consults with LGAs where the release is proposed to occur.</w:t>
      </w:r>
    </w:p>
    <w:p w14:paraId="195A8B4F" w14:textId="77777777" w:rsidR="005315F9" w:rsidRDefault="005315F9" w:rsidP="00910AE7">
      <w:r w:rsidRPr="005315F9">
        <w:t xml:space="preserve">In addition, the Regulator also </w:t>
      </w:r>
      <w:r w:rsidRPr="00910AE7">
        <w:t>routinely</w:t>
      </w:r>
      <w:r w:rsidRPr="005315F9">
        <w:t xml:space="preserve"> seeks advice from other relevant Australian</w:t>
      </w:r>
      <w:r w:rsidR="00AD2F49">
        <w:t xml:space="preserve"> </w:t>
      </w:r>
      <w:r w:rsidRPr="005315F9">
        <w:t>Government agencies such as the Department of Agriculture, Fisheries and Forestry;</w:t>
      </w:r>
      <w:r w:rsidR="00AD2F49">
        <w:t xml:space="preserve"> </w:t>
      </w:r>
      <w:r w:rsidRPr="005315F9">
        <w:t>the Department of Industry, Tourism and Resources; and the Department of Foreign</w:t>
      </w:r>
      <w:r w:rsidR="00AD2F49">
        <w:t xml:space="preserve"> </w:t>
      </w:r>
      <w:r w:rsidRPr="005315F9">
        <w:t>Affairs and Trade.</w:t>
      </w:r>
    </w:p>
    <w:p w14:paraId="0D04B6F6" w14:textId="77777777" w:rsidR="005315F9" w:rsidRDefault="005315F9" w:rsidP="00910AE7">
      <w:r w:rsidRPr="005315F9">
        <w:t>While</w:t>
      </w:r>
      <w:r w:rsidR="00AD2F49">
        <w:t xml:space="preserve"> the Offi</w:t>
      </w:r>
      <w:r w:rsidRPr="005315F9">
        <w:t>ce of the Gene Technology Regulator is located within the Department</w:t>
      </w:r>
      <w:r w:rsidR="00AD2F49">
        <w:t xml:space="preserve"> </w:t>
      </w:r>
      <w:r w:rsidRPr="005315F9">
        <w:t xml:space="preserve">and Health and Ageing portfolio, the Australian Government </w:t>
      </w:r>
      <w:r w:rsidRPr="00910AE7">
        <w:t>Environment</w:t>
      </w:r>
      <w:r w:rsidRPr="005315F9">
        <w:t xml:space="preserve"> Minister</w:t>
      </w:r>
      <w:r w:rsidR="00AD2F49">
        <w:t xml:space="preserve"> </w:t>
      </w:r>
      <w:r w:rsidRPr="005315F9">
        <w:t>receives special mention in the legislation in recognition of the relevance of that</w:t>
      </w:r>
      <w:r w:rsidR="00AD2F49">
        <w:t xml:space="preserve"> </w:t>
      </w:r>
      <w:r w:rsidRPr="005315F9">
        <w:t>portfolio’s</w:t>
      </w:r>
      <w:r w:rsidR="00AD2F49">
        <w:t xml:space="preserve"> </w:t>
      </w:r>
      <w:r w:rsidRPr="005315F9">
        <w:t>responsibilities and role in administering the EPBC Act. The Regulator is</w:t>
      </w:r>
      <w:r w:rsidR="00AD2F49">
        <w:t xml:space="preserve"> </w:t>
      </w:r>
      <w:r w:rsidRPr="005315F9">
        <w:t>required to consult with the Australian Government Environment Minister on each</w:t>
      </w:r>
      <w:r w:rsidR="00AD2F49">
        <w:t xml:space="preserve"> </w:t>
      </w:r>
      <w:r w:rsidRPr="005315F9">
        <w:t>DIR application and the RARMPs prepared in relation to each DIR application. The</w:t>
      </w:r>
      <w:r w:rsidR="00AD2F49">
        <w:t xml:space="preserve"> </w:t>
      </w:r>
      <w:r w:rsidRPr="005315F9">
        <w:t>Department of the Environment and Heritage is included in the consultation process</w:t>
      </w:r>
      <w:r w:rsidR="00AD2F49">
        <w:t xml:space="preserve"> </w:t>
      </w:r>
      <w:r w:rsidRPr="005315F9">
        <w:t>via the support it provides to the Environment Minister.</w:t>
      </w:r>
    </w:p>
    <w:p w14:paraId="5811DE70" w14:textId="77777777" w:rsidR="00FF01E5" w:rsidRDefault="005315F9" w:rsidP="00910AE7">
      <w:r w:rsidRPr="00AD2F49">
        <w:rPr>
          <w:b/>
        </w:rPr>
        <w:t>Stage 6 —</w:t>
      </w:r>
      <w:r w:rsidRPr="005315F9">
        <w:t xml:space="preserve"> The actual risk assessment process is shaped to some extent by the</w:t>
      </w:r>
      <w:r w:rsidR="00AD2F49">
        <w:t xml:space="preserve"> </w:t>
      </w:r>
      <w:r w:rsidRPr="005315F9">
        <w:t xml:space="preserve">data requirements set out in the </w:t>
      </w:r>
      <w:r w:rsidRPr="00910AE7">
        <w:t>Regulations</w:t>
      </w:r>
      <w:r w:rsidRPr="005315F9">
        <w:t>; however, the Regulator can require</w:t>
      </w:r>
      <w:r w:rsidR="00AD2F49">
        <w:t xml:space="preserve"> </w:t>
      </w:r>
      <w:r w:rsidRPr="005315F9">
        <w:t>submission of any data required to comprehensively identify hazards and evaluate</w:t>
      </w:r>
      <w:r w:rsidR="00AD2F49">
        <w:t xml:space="preserve"> </w:t>
      </w:r>
      <w:r w:rsidRPr="005315F9">
        <w:t xml:space="preserve">risks posed by </w:t>
      </w:r>
      <w:proofErr w:type="gramStart"/>
      <w:r w:rsidRPr="005315F9">
        <w:t xml:space="preserve">the </w:t>
      </w:r>
      <w:r w:rsidR="00AD2F49">
        <w:t xml:space="preserve"> d</w:t>
      </w:r>
      <w:r w:rsidRPr="005315F9">
        <w:t>e</w:t>
      </w:r>
      <w:r w:rsidR="00AD2F49">
        <w:t>aling</w:t>
      </w:r>
      <w:proofErr w:type="gramEnd"/>
      <w:r w:rsidR="00AD2F49">
        <w:t>. The Regulator is specifi</w:t>
      </w:r>
      <w:r w:rsidRPr="005315F9">
        <w:t>cally permitted by the legislation</w:t>
      </w:r>
      <w:r w:rsidR="00AD2F49">
        <w:t xml:space="preserve"> </w:t>
      </w:r>
      <w:r w:rsidRPr="005315F9">
        <w:t xml:space="preserve">to seek and </w:t>
      </w:r>
      <w:proofErr w:type="gramStart"/>
      <w:r w:rsidRPr="005315F9">
        <w:t>take into account</w:t>
      </w:r>
      <w:proofErr w:type="gramEnd"/>
      <w:r w:rsidRPr="005315F9">
        <w:t xml:space="preserve"> any other relevant information such as independent</w:t>
      </w:r>
      <w:r w:rsidR="00AD2F49">
        <w:t xml:space="preserve"> </w:t>
      </w:r>
      <w:r w:rsidRPr="005315F9">
        <w:t>research, independent literature searches, the advice of any person or group, request</w:t>
      </w:r>
      <w:r w:rsidR="00AD2F49">
        <w:t xml:space="preserve"> </w:t>
      </w:r>
      <w:r w:rsidRPr="005315F9">
        <w:t>more information from the applicant or to hold a public hearing. (What constitutes</w:t>
      </w:r>
      <w:r w:rsidR="00AD2F49">
        <w:t xml:space="preserve"> </w:t>
      </w:r>
      <w:r w:rsidR="00AD2F49" w:rsidRPr="00AD2F49">
        <w:t>acceptable evidence is discussed in some detail in the Risk Analysis Framework).</w:t>
      </w:r>
    </w:p>
    <w:p w14:paraId="53EC9411" w14:textId="77777777" w:rsidR="00AD2F49" w:rsidRDefault="00AD2F49" w:rsidP="00910AE7">
      <w:r w:rsidRPr="00AD2F49">
        <w:rPr>
          <w:b/>
        </w:rPr>
        <w:t>Stage 7 —</w:t>
      </w:r>
      <w:r w:rsidRPr="00AD2F49">
        <w:t xml:space="preserve"> The Regulator must prepare a RARMP in relation to the proposed dealings</w:t>
      </w:r>
      <w:r>
        <w:t xml:space="preserve"> </w:t>
      </w:r>
      <w:r w:rsidRPr="00AD2F49">
        <w:t>with the GMOs.</w:t>
      </w:r>
    </w:p>
    <w:p w14:paraId="3565AF40" w14:textId="77777777" w:rsidR="00AD2F49" w:rsidRDefault="00AD2F49" w:rsidP="00910AE7">
      <w:r w:rsidRPr="00AD2F49">
        <w:t xml:space="preserve">The </w:t>
      </w:r>
      <w:r w:rsidRPr="00910AE7">
        <w:t>preparation</w:t>
      </w:r>
      <w:r w:rsidRPr="00AD2F49">
        <w:t xml:space="preserve"> of the risk assessment involves identifying any hazards that may be</w:t>
      </w:r>
      <w:r>
        <w:t xml:space="preserve"> </w:t>
      </w:r>
      <w:r w:rsidRPr="00AD2F49">
        <w:t xml:space="preserve">posed by the dealings with the </w:t>
      </w:r>
      <w:proofErr w:type="gramStart"/>
      <w:r w:rsidRPr="00AD2F49">
        <w:t>GMOs, and</w:t>
      </w:r>
      <w:proofErr w:type="gramEnd"/>
      <w:r w:rsidRPr="00AD2F49">
        <w:t xml:space="preserve"> estimates the level of risk posed by such</w:t>
      </w:r>
      <w:r>
        <w:t xml:space="preserve"> </w:t>
      </w:r>
      <w:r w:rsidRPr="00AD2F49">
        <w:t>hazards based on the likelihood of the event occurring and the likely consequences of</w:t>
      </w:r>
      <w:r>
        <w:t xml:space="preserve"> </w:t>
      </w:r>
      <w:r w:rsidRPr="00AD2F49">
        <w:t>that occurrence.</w:t>
      </w:r>
    </w:p>
    <w:p w14:paraId="58068C84" w14:textId="77777777" w:rsidR="00AD2F49" w:rsidRPr="00AD2F49" w:rsidRDefault="00AD2F49" w:rsidP="00910AE7">
      <w:r w:rsidRPr="00AD2F49">
        <w:t>The risk management plan evaluates which of the risks to human health and safety</w:t>
      </w:r>
      <w:r>
        <w:t xml:space="preserve"> </w:t>
      </w:r>
      <w:r w:rsidRPr="00AD2F49">
        <w:t xml:space="preserve">and the environment posed by the dealing with the </w:t>
      </w:r>
      <w:r w:rsidRPr="00910AE7">
        <w:t>GMO</w:t>
      </w:r>
      <w:r w:rsidRPr="00AD2F49">
        <w:t xml:space="preserve"> require </w:t>
      </w:r>
      <w:proofErr w:type="gramStart"/>
      <w:r w:rsidRPr="00AD2F49">
        <w:t>management,</w:t>
      </w:r>
      <w:r>
        <w:t xml:space="preserve"> </w:t>
      </w:r>
      <w:r w:rsidRPr="00AD2F49">
        <w:t>and</w:t>
      </w:r>
      <w:proofErr w:type="gramEnd"/>
      <w:r w:rsidRPr="00AD2F49">
        <w:t xml:space="preserve"> considers how they may be able to be managed. This provides the basis for</w:t>
      </w:r>
      <w:r>
        <w:t xml:space="preserve"> </w:t>
      </w:r>
      <w:r w:rsidRPr="00AD2F49">
        <w:t xml:space="preserve">conditions that may be applied </w:t>
      </w:r>
      <w:r w:rsidRPr="00AD2F49">
        <w:lastRenderedPageBreak/>
        <w:t>to the licence and draft conditions are included in the</w:t>
      </w:r>
      <w:r>
        <w:t xml:space="preserve"> </w:t>
      </w:r>
      <w:r w:rsidRPr="00AD2F49">
        <w:t>consultation version of the risk management plan.</w:t>
      </w:r>
    </w:p>
    <w:p w14:paraId="36E12A19" w14:textId="77777777" w:rsidR="00AD2F49" w:rsidRDefault="00AD2F49" w:rsidP="00910AE7">
      <w:r w:rsidRPr="00AD2F49">
        <w:rPr>
          <w:b/>
        </w:rPr>
        <w:t>Stage 8 —</w:t>
      </w:r>
      <w:r w:rsidRPr="00AD2F49">
        <w:t xml:space="preserve"> Once </w:t>
      </w:r>
      <w:r w:rsidRPr="00910AE7">
        <w:t>the</w:t>
      </w:r>
      <w:r w:rsidRPr="00AD2F49">
        <w:t xml:space="preserve"> Regulator has prepared the RARMP under section 52 of the Act</w:t>
      </w:r>
      <w:r>
        <w:t xml:space="preserve"> </w:t>
      </w:r>
      <w:r w:rsidRPr="00AD2F49">
        <w:t>the Regulator must notify the public and invite written submissions on the document</w:t>
      </w:r>
      <w:r>
        <w:t xml:space="preserve"> </w:t>
      </w:r>
      <w:r w:rsidRPr="00AD2F49">
        <w:t>through advertisements in a national newspaper, the Australian Government Gazette</w:t>
      </w:r>
      <w:r>
        <w:t xml:space="preserve"> </w:t>
      </w:r>
      <w:r w:rsidRPr="00AD2F49">
        <w:t>and the Regulator’s web site. The legislation requires that the Regulator provide at</w:t>
      </w:r>
      <w:r>
        <w:t xml:space="preserve"> </w:t>
      </w:r>
      <w:r w:rsidRPr="00AD2F49">
        <w:t>least 30 days to receive public submissions; however, the Regulator’s policy is to allow</w:t>
      </w:r>
      <w:r>
        <w:t xml:space="preserve"> </w:t>
      </w:r>
      <w:r w:rsidRPr="00AD2F49">
        <w:t>6 weeks for limited and controlled field trial applications and 8 weeks for commercial</w:t>
      </w:r>
      <w:r>
        <w:t xml:space="preserve"> </w:t>
      </w:r>
      <w:r w:rsidRPr="00AD2F49">
        <w:t>release applications or for controversial GMOs.</w:t>
      </w:r>
    </w:p>
    <w:p w14:paraId="0C7CE4F9" w14:textId="77777777" w:rsidR="00AD2F49" w:rsidRPr="00AD2F49" w:rsidRDefault="00AD2F49" w:rsidP="00910AE7">
      <w:r w:rsidRPr="00AD2F49">
        <w:t xml:space="preserve">Under section 52(3) of the Act the </w:t>
      </w:r>
      <w:r w:rsidRPr="00910AE7">
        <w:t>Regulator</w:t>
      </w:r>
      <w:r w:rsidRPr="00AD2F49">
        <w:t xml:space="preserve"> must also seek advice on the RARMP</w:t>
      </w:r>
      <w:r>
        <w:t xml:space="preserve"> </w:t>
      </w:r>
      <w:r w:rsidRPr="00AD2F49">
        <w:t>from all the expert groups and authorities that were consulted on the application, and</w:t>
      </w:r>
      <w:r>
        <w:t xml:space="preserve"> </w:t>
      </w:r>
      <w:r w:rsidRPr="00AD2F49">
        <w:t>the Australian Government Environment Minister.</w:t>
      </w:r>
    </w:p>
    <w:p w14:paraId="0A3E9A53" w14:textId="77777777" w:rsidR="00AD2F49" w:rsidRDefault="00AD2F49" w:rsidP="00910AE7">
      <w:r w:rsidRPr="00AD2F49">
        <w:rPr>
          <w:b/>
        </w:rPr>
        <w:t>Stage 9 —</w:t>
      </w:r>
      <w:r>
        <w:t xml:space="preserve"> The Regulator fi</w:t>
      </w:r>
      <w:r w:rsidRPr="00AD2F49">
        <w:t xml:space="preserve">nalises the RARMP, </w:t>
      </w:r>
      <w:proofErr w:type="gramStart"/>
      <w:r w:rsidRPr="00AD2F49">
        <w:t>taking into account</w:t>
      </w:r>
      <w:proofErr w:type="gramEnd"/>
      <w:r w:rsidRPr="00AD2F49">
        <w:t xml:space="preserve"> the advice provided</w:t>
      </w:r>
      <w:r>
        <w:t xml:space="preserve"> </w:t>
      </w:r>
      <w:r w:rsidRPr="00AD2F49">
        <w:t>in relation to the consultation version of the RARMP in accordance with section 56(2)</w:t>
      </w:r>
      <w:r>
        <w:t xml:space="preserve"> </w:t>
      </w:r>
      <w:r w:rsidRPr="00AD2F49">
        <w:t xml:space="preserve">of the Act. The Regulator then makes the decision on </w:t>
      </w:r>
      <w:r w:rsidRPr="00910AE7">
        <w:t>issuing</w:t>
      </w:r>
      <w:r w:rsidRPr="00AD2F49">
        <w:t xml:space="preserve"> the licence and any</w:t>
      </w:r>
      <w:r>
        <w:t xml:space="preserve"> </w:t>
      </w:r>
      <w:r w:rsidRPr="00AD2F49">
        <w:t>conditions t</w:t>
      </w:r>
      <w:r>
        <w:t>o be imposed, based upon the fi</w:t>
      </w:r>
      <w:r w:rsidRPr="00AD2F49">
        <w:t>nalised plan, having regard to any policy</w:t>
      </w:r>
      <w:r>
        <w:t xml:space="preserve"> </w:t>
      </w:r>
      <w:r w:rsidRPr="00AD2F49">
        <w:t>principles issued by the Gene Technology Ministerial Council. The Regulator must</w:t>
      </w:r>
      <w:r>
        <w:t xml:space="preserve"> </w:t>
      </w:r>
      <w:r w:rsidRPr="00AD2F49">
        <w:t>notify the applicant in writing that a licence decision has been made. The Regulator</w:t>
      </w:r>
      <w:r>
        <w:t xml:space="preserve"> also publishes the fi</w:t>
      </w:r>
      <w:r w:rsidRPr="00AD2F49">
        <w:t>nalised RARMP on the Regulator’s website, advises all expert</w:t>
      </w:r>
      <w:r>
        <w:t xml:space="preserve"> </w:t>
      </w:r>
      <w:r w:rsidRPr="00AD2F49">
        <w:t>groups and authorities and people or organisations that have made submissions and</w:t>
      </w:r>
      <w:r>
        <w:t xml:space="preserve"> notifi</w:t>
      </w:r>
      <w:r w:rsidRPr="00AD2F49">
        <w:t>es registered recipients on the OGTR mailing list.</w:t>
      </w:r>
    </w:p>
    <w:p w14:paraId="1EB30CCA" w14:textId="77777777" w:rsidR="00AD2F49" w:rsidRDefault="00AD2F49" w:rsidP="00AD2F49">
      <w:r>
        <w:br w:type="page"/>
      </w:r>
    </w:p>
    <w:p w14:paraId="55FE626B" w14:textId="77777777" w:rsidR="00EB2EAC" w:rsidRPr="00B72B37" w:rsidRDefault="00EB2EAC" w:rsidP="00B72B37">
      <w:r w:rsidRPr="00B72B37">
        <w:lastRenderedPageBreak/>
        <w:t xml:space="preserve">Figure 2 illustrates the application approval process for a </w:t>
      </w:r>
      <w:r w:rsidR="00AD6C2E" w:rsidRPr="00B72B37">
        <w:t>RARMP (risk assessment and risk management plan):</w:t>
      </w:r>
    </w:p>
    <w:p w14:paraId="1B129630" w14:textId="77777777" w:rsidR="00B4570B" w:rsidRDefault="00B4570B" w:rsidP="00AD2F49">
      <w:pPr>
        <w:autoSpaceDE w:val="0"/>
        <w:autoSpaceDN w:val="0"/>
        <w:adjustRightInd w:val="0"/>
        <w:spacing w:after="0" w:line="240" w:lineRule="auto"/>
        <w:rPr>
          <w:rFonts w:asciiTheme="minorHAnsi" w:hAnsiTheme="minorHAnsi" w:cstheme="minorHAnsi"/>
        </w:rPr>
      </w:pPr>
      <w:r>
        <w:rPr>
          <w:noProof/>
          <w:lang w:eastAsia="en-AU"/>
        </w:rPr>
        <w:drawing>
          <wp:inline distT="0" distB="0" distL="0" distR="0" wp14:anchorId="7A1A20ED" wp14:editId="576E1D55">
            <wp:extent cx="5572125" cy="7496175"/>
            <wp:effectExtent l="0" t="0" r="9525" b="9525"/>
            <wp:docPr id="200" name="Picture 200" descr="Figure illustrates the application approval process for a RARMP (risk assessment and risk management plan):" title="Figure 2: The application approval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72125" cy="7496175"/>
                    </a:xfrm>
                    <a:prstGeom prst="rect">
                      <a:avLst/>
                    </a:prstGeom>
                  </pic:spPr>
                </pic:pic>
              </a:graphicData>
            </a:graphic>
          </wp:inline>
        </w:drawing>
      </w:r>
    </w:p>
    <w:p w14:paraId="331877D2" w14:textId="77777777" w:rsidR="00B4570B" w:rsidRDefault="00B4570B" w:rsidP="00B4570B">
      <w:r>
        <w:br w:type="page"/>
      </w:r>
    </w:p>
    <w:p w14:paraId="4CB97899" w14:textId="77777777" w:rsidR="00B4570B" w:rsidRPr="00B4570B" w:rsidRDefault="00B4570B" w:rsidP="00B72B37">
      <w:pPr>
        <w:pStyle w:val="Heading3"/>
      </w:pPr>
      <w:r w:rsidRPr="00B4570B">
        <w:lastRenderedPageBreak/>
        <w:t xml:space="preserve">The GMO </w:t>
      </w:r>
      <w:proofErr w:type="gramStart"/>
      <w:r w:rsidRPr="00B4570B">
        <w:t>record</w:t>
      </w:r>
      <w:proofErr w:type="gramEnd"/>
    </w:p>
    <w:p w14:paraId="79F762BD" w14:textId="77777777" w:rsidR="00B4570B" w:rsidRDefault="00B4570B" w:rsidP="00D25AB2">
      <w:r w:rsidRPr="00B4570B">
        <w:t>The Act requires the Regulator to maintain a ‘Record of GMO and GM Product</w:t>
      </w:r>
      <w:r>
        <w:t xml:space="preserve"> </w:t>
      </w:r>
      <w:r w:rsidRPr="00B4570B">
        <w:t>Dealings’ (the GMO record, section 138). Details of licences issued (both DNIR and</w:t>
      </w:r>
      <w:r>
        <w:t xml:space="preserve"> </w:t>
      </w:r>
      <w:r w:rsidRPr="00B4570B">
        <w:t xml:space="preserve">DIR), information about NLRDs and </w:t>
      </w:r>
      <w:r w:rsidRPr="00D25AB2">
        <w:t>information</w:t>
      </w:r>
      <w:r w:rsidRPr="00B4570B">
        <w:t xml:space="preserve"> about GM Products approved or</w:t>
      </w:r>
      <w:r>
        <w:t xml:space="preserve"> </w:t>
      </w:r>
      <w:r w:rsidRPr="00B4570B">
        <w:t>registered by other regulatory authorities, are included on the GMO record.</w:t>
      </w:r>
    </w:p>
    <w:p w14:paraId="2012619D" w14:textId="77777777" w:rsidR="00B4570B" w:rsidRPr="00B4570B" w:rsidRDefault="00B4570B" w:rsidP="00D25AB2">
      <w:r w:rsidRPr="00B4570B">
        <w:t>The GMO record is currently divided into separate sections for the recording of:</w:t>
      </w:r>
    </w:p>
    <w:p w14:paraId="7C37945B" w14:textId="77777777" w:rsidR="00B4570B" w:rsidRPr="00DD484D" w:rsidRDefault="00B4570B" w:rsidP="009F018E">
      <w:pPr>
        <w:pStyle w:val="ListParagraph"/>
        <w:numPr>
          <w:ilvl w:val="0"/>
          <w:numId w:val="45"/>
        </w:numPr>
      </w:pPr>
      <w:r w:rsidRPr="00DD484D">
        <w:t xml:space="preserve">GM products — those used in food processing, therapeutics, and pesticides and veterinary </w:t>
      </w:r>
      <w:proofErr w:type="gramStart"/>
      <w:r w:rsidRPr="00DD484D">
        <w:t>medicines;</w:t>
      </w:r>
      <w:proofErr w:type="gramEnd"/>
    </w:p>
    <w:p w14:paraId="7B435C78" w14:textId="77777777" w:rsidR="00B4570B" w:rsidRPr="00DD484D" w:rsidRDefault="00B4570B" w:rsidP="009F018E">
      <w:pPr>
        <w:pStyle w:val="ListParagraph"/>
        <w:numPr>
          <w:ilvl w:val="0"/>
          <w:numId w:val="45"/>
        </w:numPr>
      </w:pPr>
      <w:r w:rsidRPr="00DD484D">
        <w:t xml:space="preserve">Notifiable low risk dealings — </w:t>
      </w:r>
      <w:proofErr w:type="gramStart"/>
      <w:r w:rsidRPr="00DD484D">
        <w:t>NLRDs;</w:t>
      </w:r>
      <w:proofErr w:type="gramEnd"/>
    </w:p>
    <w:p w14:paraId="623F59B5" w14:textId="77777777" w:rsidR="00B4570B" w:rsidRPr="00DD484D" w:rsidRDefault="00B4570B" w:rsidP="009F018E">
      <w:pPr>
        <w:pStyle w:val="ListParagraph"/>
        <w:numPr>
          <w:ilvl w:val="0"/>
          <w:numId w:val="45"/>
        </w:numPr>
      </w:pPr>
      <w:r w:rsidRPr="00DD484D">
        <w:t>Contained dealings — DNIR licences; and</w:t>
      </w:r>
    </w:p>
    <w:p w14:paraId="3361672C" w14:textId="77777777" w:rsidR="00B4570B" w:rsidRPr="00DD484D" w:rsidRDefault="00B4570B" w:rsidP="009F018E">
      <w:pPr>
        <w:pStyle w:val="ListParagraph"/>
        <w:numPr>
          <w:ilvl w:val="0"/>
          <w:numId w:val="45"/>
        </w:numPr>
      </w:pPr>
      <w:r w:rsidRPr="00DD484D">
        <w:t>Intentional releases — DIR licences.</w:t>
      </w:r>
    </w:p>
    <w:p w14:paraId="3ABFC479" w14:textId="77777777" w:rsidR="00B4570B" w:rsidRPr="00DD484D" w:rsidRDefault="00B4570B" w:rsidP="009F018E">
      <w:pPr>
        <w:pStyle w:val="ListParagraph"/>
        <w:numPr>
          <w:ilvl w:val="0"/>
          <w:numId w:val="45"/>
        </w:numPr>
      </w:pPr>
      <w:r w:rsidRPr="00DD484D">
        <w:t>The record can be accessed through the Regulator’s website.</w:t>
      </w:r>
    </w:p>
    <w:p w14:paraId="7D894713" w14:textId="77777777" w:rsidR="00B4570B" w:rsidRPr="00DD484D" w:rsidRDefault="00B4570B" w:rsidP="00DD484D">
      <w:pPr>
        <w:pStyle w:val="Heading4"/>
      </w:pPr>
      <w:r w:rsidRPr="00DD484D">
        <w:t>Gene Technology Committees</w:t>
      </w:r>
    </w:p>
    <w:p w14:paraId="167891D3" w14:textId="15432F74" w:rsidR="00B4570B" w:rsidRPr="00B4570B" w:rsidRDefault="00B4570B" w:rsidP="00B4570B">
      <w:pPr>
        <w:autoSpaceDE w:val="0"/>
        <w:autoSpaceDN w:val="0"/>
        <w:adjustRightInd w:val="0"/>
        <w:spacing w:after="0" w:line="240" w:lineRule="auto"/>
        <w:rPr>
          <w:rFonts w:asciiTheme="minorHAnsi" w:hAnsiTheme="minorHAnsi" w:cstheme="minorHAnsi"/>
        </w:rPr>
      </w:pPr>
      <w:r w:rsidRPr="00B4570B">
        <w:rPr>
          <w:rFonts w:asciiTheme="minorHAnsi" w:hAnsiTheme="minorHAnsi" w:cstheme="minorHAnsi"/>
        </w:rPr>
        <w:t>The legislation creates three committees to provide advice to the Regulator and the</w:t>
      </w:r>
      <w:r>
        <w:rPr>
          <w:rFonts w:asciiTheme="minorHAnsi" w:hAnsiTheme="minorHAnsi" w:cstheme="minorHAnsi"/>
        </w:rPr>
        <w:t xml:space="preserve"> </w:t>
      </w:r>
      <w:r w:rsidRPr="00B4570B">
        <w:rPr>
          <w:rFonts w:asciiTheme="minorHAnsi" w:hAnsiTheme="minorHAnsi" w:cstheme="minorHAnsi"/>
        </w:rPr>
        <w:t>GTMC: the GTTAC, GTCCC and GTEC. Membership of the committees consists of</w:t>
      </w:r>
      <w:r>
        <w:rPr>
          <w:rFonts w:asciiTheme="minorHAnsi" w:hAnsiTheme="minorHAnsi" w:cstheme="minorHAnsi"/>
        </w:rPr>
        <w:t xml:space="preserve"> </w:t>
      </w:r>
      <w:r w:rsidRPr="00B4570B">
        <w:rPr>
          <w:rFonts w:asciiTheme="minorHAnsi" w:hAnsiTheme="minorHAnsi" w:cstheme="minorHAnsi"/>
        </w:rPr>
        <w:t>persons with either expertise in one or more scientific fields (GTTAC) or with skills</w:t>
      </w:r>
      <w:r>
        <w:rPr>
          <w:rFonts w:asciiTheme="minorHAnsi" w:hAnsiTheme="minorHAnsi" w:cstheme="minorHAnsi"/>
        </w:rPr>
        <w:t xml:space="preserve"> </w:t>
      </w:r>
      <w:r w:rsidRPr="00B4570B">
        <w:rPr>
          <w:rFonts w:asciiTheme="minorHAnsi" w:hAnsiTheme="minorHAnsi" w:cstheme="minorHAnsi"/>
        </w:rPr>
        <w:t>and experience in areas relevant to gene technology as specified in the Act.</w:t>
      </w:r>
    </w:p>
    <w:p w14:paraId="2A7F111D" w14:textId="77777777" w:rsidR="00B4570B" w:rsidRPr="00B4570B" w:rsidRDefault="00B4570B" w:rsidP="00DD484D">
      <w:r w:rsidRPr="00B4570B">
        <w:rPr>
          <w:b/>
        </w:rPr>
        <w:t>GTTAC</w:t>
      </w:r>
      <w:r w:rsidRPr="00C769A4">
        <w:rPr>
          <w:bCs/>
        </w:rPr>
        <w:t xml:space="preserve"> —</w:t>
      </w:r>
      <w:r w:rsidRPr="00B4570B">
        <w:t xml:space="preserve"> provides </w:t>
      </w:r>
      <w:r w:rsidRPr="00DD484D">
        <w:t>scientific</w:t>
      </w:r>
      <w:r w:rsidRPr="00B4570B">
        <w:t xml:space="preserve"> and technical advice, on the request of the Regulator or</w:t>
      </w:r>
      <w:r>
        <w:t xml:space="preserve"> </w:t>
      </w:r>
      <w:r w:rsidRPr="00B4570B">
        <w:t>the</w:t>
      </w:r>
      <w:r>
        <w:t xml:space="preserve"> </w:t>
      </w:r>
      <w:r w:rsidRPr="00B4570B">
        <w:t>GTMC, on:</w:t>
      </w:r>
    </w:p>
    <w:p w14:paraId="67C0479F" w14:textId="77777777" w:rsidR="00B4570B" w:rsidRPr="00C769A4" w:rsidRDefault="00B4570B" w:rsidP="009F018E">
      <w:pPr>
        <w:pStyle w:val="ListParagraph"/>
        <w:numPr>
          <w:ilvl w:val="0"/>
          <w:numId w:val="46"/>
        </w:numPr>
      </w:pPr>
      <w:r w:rsidRPr="00C769A4">
        <w:t xml:space="preserve">gene </w:t>
      </w:r>
      <w:proofErr w:type="gramStart"/>
      <w:r w:rsidRPr="00C769A4">
        <w:t>technology;</w:t>
      </w:r>
      <w:proofErr w:type="gramEnd"/>
    </w:p>
    <w:p w14:paraId="5688808B" w14:textId="77777777" w:rsidR="00B4570B" w:rsidRPr="00C769A4" w:rsidRDefault="00B4570B" w:rsidP="009F018E">
      <w:pPr>
        <w:pStyle w:val="ListParagraph"/>
        <w:numPr>
          <w:ilvl w:val="0"/>
          <w:numId w:val="46"/>
        </w:numPr>
      </w:pPr>
      <w:r w:rsidRPr="00C769A4">
        <w:t xml:space="preserve">GMOs and GM </w:t>
      </w:r>
      <w:proofErr w:type="gramStart"/>
      <w:r w:rsidRPr="00C769A4">
        <w:t>products;</w:t>
      </w:r>
      <w:proofErr w:type="gramEnd"/>
    </w:p>
    <w:p w14:paraId="4DB82FE8" w14:textId="77777777" w:rsidR="00B4570B" w:rsidRPr="00C769A4" w:rsidRDefault="00B4570B" w:rsidP="009F018E">
      <w:pPr>
        <w:pStyle w:val="ListParagraph"/>
        <w:numPr>
          <w:ilvl w:val="0"/>
          <w:numId w:val="46"/>
        </w:numPr>
      </w:pPr>
      <w:r w:rsidRPr="00C769A4">
        <w:t xml:space="preserve">applications made under the </w:t>
      </w:r>
      <w:proofErr w:type="gramStart"/>
      <w:r w:rsidRPr="00C769A4">
        <w:t>Act;</w:t>
      </w:r>
      <w:proofErr w:type="gramEnd"/>
    </w:p>
    <w:p w14:paraId="2E12C833" w14:textId="77777777" w:rsidR="00B4570B" w:rsidRPr="00C769A4" w:rsidRDefault="00B4570B" w:rsidP="009F018E">
      <w:pPr>
        <w:pStyle w:val="ListParagraph"/>
        <w:numPr>
          <w:ilvl w:val="0"/>
          <w:numId w:val="46"/>
        </w:numPr>
      </w:pPr>
      <w:r w:rsidRPr="00C769A4">
        <w:t>biosafety aspects of gene technology; and</w:t>
      </w:r>
    </w:p>
    <w:p w14:paraId="21971C1A" w14:textId="77777777" w:rsidR="00B4570B" w:rsidRPr="00C769A4" w:rsidRDefault="00B4570B" w:rsidP="009F018E">
      <w:pPr>
        <w:pStyle w:val="ListParagraph"/>
        <w:numPr>
          <w:ilvl w:val="0"/>
          <w:numId w:val="46"/>
        </w:numPr>
      </w:pPr>
      <w:r w:rsidRPr="00C769A4">
        <w:t>the need for and content of policy principles, policy guidelines, codes of practice and technical and procedural guidelines.</w:t>
      </w:r>
    </w:p>
    <w:p w14:paraId="3D1DE78A" w14:textId="77777777" w:rsidR="00B4570B" w:rsidRPr="00B4570B" w:rsidRDefault="00B4570B" w:rsidP="00C769A4">
      <w:r w:rsidRPr="00B4570B">
        <w:rPr>
          <w:b/>
        </w:rPr>
        <w:t>GTCCC</w:t>
      </w:r>
      <w:r w:rsidRPr="00C769A4">
        <w:rPr>
          <w:bCs/>
        </w:rPr>
        <w:t xml:space="preserve"> —</w:t>
      </w:r>
      <w:r w:rsidRPr="00B4570B">
        <w:t xml:space="preserve"> provides advice at the request of the Regulator or the GTMC, on:</w:t>
      </w:r>
    </w:p>
    <w:p w14:paraId="3F4867A8" w14:textId="77777777" w:rsidR="00B4570B" w:rsidRPr="00C769A4" w:rsidRDefault="00B4570B" w:rsidP="009F018E">
      <w:pPr>
        <w:pStyle w:val="ListParagraph"/>
        <w:numPr>
          <w:ilvl w:val="0"/>
          <w:numId w:val="47"/>
        </w:numPr>
      </w:pPr>
      <w:r w:rsidRPr="00C769A4">
        <w:t>matters of general concern in relation to GMOs; and</w:t>
      </w:r>
    </w:p>
    <w:p w14:paraId="57BD7FA8" w14:textId="77777777" w:rsidR="00B4570B" w:rsidRPr="00C769A4" w:rsidRDefault="00B4570B" w:rsidP="009F018E">
      <w:pPr>
        <w:pStyle w:val="ListParagraph"/>
        <w:numPr>
          <w:ilvl w:val="0"/>
          <w:numId w:val="47"/>
        </w:numPr>
      </w:pPr>
      <w:r w:rsidRPr="00C769A4">
        <w:t>the need for and content of policy principles, policy guidelines, codes of practice and technical and procedural guidelines.</w:t>
      </w:r>
    </w:p>
    <w:p w14:paraId="1BD731E4" w14:textId="77777777" w:rsidR="00B4570B" w:rsidRPr="00B4570B" w:rsidRDefault="00B4570B" w:rsidP="00C769A4">
      <w:r w:rsidRPr="00B4570B">
        <w:rPr>
          <w:b/>
        </w:rPr>
        <w:t>GTEC</w:t>
      </w:r>
      <w:r w:rsidRPr="00C769A4">
        <w:rPr>
          <w:bCs/>
        </w:rPr>
        <w:t xml:space="preserve"> —</w:t>
      </w:r>
      <w:r w:rsidRPr="00B4570B">
        <w:t xml:space="preserve"> provides advice at the request of the Regulator or the GTMC, on:</w:t>
      </w:r>
    </w:p>
    <w:p w14:paraId="29A1B3D9" w14:textId="77777777" w:rsidR="00B4570B" w:rsidRPr="00C769A4" w:rsidRDefault="00B4570B" w:rsidP="009F018E">
      <w:pPr>
        <w:pStyle w:val="ListParagraph"/>
        <w:numPr>
          <w:ilvl w:val="0"/>
          <w:numId w:val="48"/>
        </w:numPr>
      </w:pPr>
      <w:r w:rsidRPr="00C769A4">
        <w:t xml:space="preserve">ethical issues relating to gene </w:t>
      </w:r>
      <w:proofErr w:type="gramStart"/>
      <w:r w:rsidRPr="00C769A4">
        <w:t>technology;</w:t>
      </w:r>
      <w:proofErr w:type="gramEnd"/>
    </w:p>
    <w:p w14:paraId="3B7D5244" w14:textId="77777777" w:rsidR="00B4570B" w:rsidRPr="00C769A4" w:rsidRDefault="00B4570B" w:rsidP="009F018E">
      <w:pPr>
        <w:pStyle w:val="ListParagraph"/>
        <w:numPr>
          <w:ilvl w:val="0"/>
          <w:numId w:val="48"/>
        </w:numPr>
      </w:pPr>
      <w:r w:rsidRPr="00C769A4">
        <w:t>the need for and content of codes of practice in relation to ethical conduct</w:t>
      </w:r>
    </w:p>
    <w:p w14:paraId="51C9CAA7" w14:textId="77777777" w:rsidR="00B4570B" w:rsidRPr="00C769A4" w:rsidRDefault="00B4570B" w:rsidP="009F018E">
      <w:pPr>
        <w:pStyle w:val="ListParagraph"/>
        <w:numPr>
          <w:ilvl w:val="0"/>
          <w:numId w:val="48"/>
        </w:numPr>
      </w:pPr>
      <w:r w:rsidRPr="00C769A4">
        <w:t>when dealing with GMOs; and</w:t>
      </w:r>
    </w:p>
    <w:p w14:paraId="45703B3D" w14:textId="77777777" w:rsidR="00B4570B" w:rsidRPr="00C769A4" w:rsidRDefault="00B4570B" w:rsidP="009F018E">
      <w:pPr>
        <w:pStyle w:val="ListParagraph"/>
        <w:numPr>
          <w:ilvl w:val="0"/>
          <w:numId w:val="48"/>
        </w:numPr>
      </w:pPr>
      <w:r w:rsidRPr="00C769A4">
        <w:t>the need for and content of policy principles relating to dealings with GMOs that should not be conducted for ethical reasons.</w:t>
      </w:r>
    </w:p>
    <w:p w14:paraId="1C629F8D" w14:textId="77777777" w:rsidR="004C6AA9" w:rsidRPr="00F33301" w:rsidRDefault="004C6AA9" w:rsidP="00F33301">
      <w:pPr>
        <w:pStyle w:val="Heading4"/>
      </w:pPr>
      <w:r w:rsidRPr="00F33301">
        <w:t>Accreditation and Certification</w:t>
      </w:r>
    </w:p>
    <w:p w14:paraId="0E8FB479" w14:textId="77777777" w:rsidR="004C6AA9" w:rsidRDefault="004C6AA9" w:rsidP="0018635E">
      <w:r w:rsidRPr="0018635E">
        <w:t>Accreditation</w:t>
      </w:r>
      <w:r>
        <w:t xml:space="preserve"> of organisations and certifi</w:t>
      </w:r>
      <w:r w:rsidRPr="004C6AA9">
        <w:t>cation of individual physical containment</w:t>
      </w:r>
      <w:r>
        <w:t xml:space="preserve"> </w:t>
      </w:r>
      <w:r w:rsidRPr="004C6AA9">
        <w:t>facilities assists in the management of risk that may be associated with dealings with</w:t>
      </w:r>
      <w:r>
        <w:t xml:space="preserve"> </w:t>
      </w:r>
      <w:r w:rsidRPr="004C6AA9">
        <w:t>GMOs by providing an administrative system in which to monitor and oversee their</w:t>
      </w:r>
      <w:r>
        <w:t xml:space="preserve"> </w:t>
      </w:r>
      <w:r w:rsidRPr="004C6AA9">
        <w:t>development and use.</w:t>
      </w:r>
    </w:p>
    <w:p w14:paraId="5EBDA56E" w14:textId="77777777" w:rsidR="004C6AA9" w:rsidRDefault="004C6AA9" w:rsidP="0018635E">
      <w:r w:rsidRPr="004C6AA9">
        <w:t>An organisation undertaking certain dealings with GMOs will be required to be</w:t>
      </w:r>
      <w:r>
        <w:t xml:space="preserve"> </w:t>
      </w:r>
      <w:r w:rsidRPr="004C6AA9">
        <w:t>accredited by the Regulator (sections 91–98). The process of accreditation enables the</w:t>
      </w:r>
      <w:r>
        <w:t xml:space="preserve"> </w:t>
      </w:r>
      <w:r w:rsidRPr="004C6AA9">
        <w:t xml:space="preserve">Regulator to </w:t>
      </w:r>
      <w:r w:rsidRPr="004C6AA9">
        <w:lastRenderedPageBreak/>
        <w:t>assess if the organisation has the resources and the internal processes in</w:t>
      </w:r>
      <w:r>
        <w:t xml:space="preserve"> </w:t>
      </w:r>
      <w:r w:rsidRPr="004C6AA9">
        <w:t>place to enable it to effectively oversee work with GMOs. Before an organisation can be</w:t>
      </w:r>
      <w:r>
        <w:t xml:space="preserve"> </w:t>
      </w:r>
      <w:r w:rsidRPr="004C6AA9">
        <w:t>accredited, it must have established, or have access to, an appropriately constituted IBC.</w:t>
      </w:r>
    </w:p>
    <w:p w14:paraId="52BB3A87" w14:textId="77777777" w:rsidR="005C1F1B" w:rsidRPr="0018635E" w:rsidRDefault="004C6AA9" w:rsidP="0018635E">
      <w:r w:rsidRPr="0018635E">
        <w:t xml:space="preserve">IBCs provide on-site scrutiny of negligible risk dealings that do not require case by case consideration by the Regulator. IBCs are required to comprise a range of suitable experts and an independent person and they provide a quality assurance mechanism that reviews the information submitted by applicants to the Regulator. The Guidelines for the Accreditation of Organisations and Guidelines for the Certification of Facilities/Physical Containment Requirements are available from the OGTR website </w:t>
      </w:r>
      <w:r w:rsidR="005C1F1B" w:rsidRPr="0018635E">
        <w:t>www.ogtr.gov.au</w:t>
      </w:r>
    </w:p>
    <w:p w14:paraId="56398409" w14:textId="77777777" w:rsidR="00AD2F49" w:rsidRPr="0018635E" w:rsidRDefault="004C6AA9" w:rsidP="0018635E">
      <w:r w:rsidRPr="0018635E">
        <w:t xml:space="preserve">The legislation allows the Regulator to certify laboratory or production facilities (sections 83–90) to ensure that they meet appropriate standards for containment of GMOs and that procedures and practices are carried out by trained and competent staff. Guidelines for certification of each type of facility (laboratory, plant house, aquaria etc.) at the various levels of physical containment (PC) levels 1 to 4, are developed by the Regulator and must be complied with before a facility can be certified. All certified facilities must be inspected before certification and annually by the IBC. The OGTR inspects all </w:t>
      </w:r>
      <w:proofErr w:type="gramStart"/>
      <w:r w:rsidRPr="0018635E">
        <w:t>high level</w:t>
      </w:r>
      <w:proofErr w:type="gramEnd"/>
      <w:r w:rsidRPr="0018635E">
        <w:t xml:space="preserve"> facilities (large scale PC2, PC3 and PC4) before certification and re-certification.</w:t>
      </w:r>
    </w:p>
    <w:p w14:paraId="6533C692" w14:textId="77777777" w:rsidR="0018635E" w:rsidRDefault="0018635E" w:rsidP="0018635E">
      <w:r>
        <w:t xml:space="preserve">Since the </w:t>
      </w:r>
      <w:r w:rsidRPr="004C6AA9">
        <w:rPr>
          <w:i/>
        </w:rPr>
        <w:t>Gene Technology Act 2000</w:t>
      </w:r>
      <w:r>
        <w:t xml:space="preserve"> came into effect in June 2001 up until 29 March 2005, the Regulator has:</w:t>
      </w:r>
    </w:p>
    <w:p w14:paraId="0E55B266" w14:textId="77777777" w:rsidR="0018635E" w:rsidRPr="0018635E" w:rsidRDefault="0018635E" w:rsidP="009F018E">
      <w:pPr>
        <w:pStyle w:val="ListParagraph"/>
        <w:numPr>
          <w:ilvl w:val="0"/>
          <w:numId w:val="49"/>
        </w:numPr>
      </w:pPr>
      <w:r w:rsidRPr="0018635E">
        <w:t xml:space="preserve">Certified 1985 contained facilities </w:t>
      </w:r>
    </w:p>
    <w:p w14:paraId="08A9A0FD" w14:textId="77777777" w:rsidR="0018635E" w:rsidRPr="0018635E" w:rsidRDefault="0018635E" w:rsidP="009F018E">
      <w:pPr>
        <w:pStyle w:val="ListParagraph"/>
        <w:numPr>
          <w:ilvl w:val="0"/>
          <w:numId w:val="49"/>
        </w:numPr>
      </w:pPr>
      <w:r w:rsidRPr="0018635E">
        <w:t>Accredited 147 organisations</w:t>
      </w:r>
    </w:p>
    <w:p w14:paraId="6E91CAA5" w14:textId="77777777" w:rsidR="0018635E" w:rsidRPr="0018635E" w:rsidRDefault="0018635E" w:rsidP="009F018E">
      <w:pPr>
        <w:pStyle w:val="ListParagraph"/>
        <w:numPr>
          <w:ilvl w:val="0"/>
          <w:numId w:val="49"/>
        </w:numPr>
      </w:pPr>
      <w:r w:rsidRPr="0018635E">
        <w:t>Issued licences for 37 dealings involving intentional release of GMOs into the environment (DIRs)</w:t>
      </w:r>
    </w:p>
    <w:p w14:paraId="6A1819BE" w14:textId="77777777" w:rsidR="0018635E" w:rsidRPr="0018635E" w:rsidRDefault="0018635E" w:rsidP="009F018E">
      <w:pPr>
        <w:pStyle w:val="ListParagraph"/>
        <w:numPr>
          <w:ilvl w:val="0"/>
          <w:numId w:val="49"/>
        </w:numPr>
      </w:pPr>
      <w:r w:rsidRPr="0018635E">
        <w:t>Issued licences for 290 dealings not involving intentional release of GMOs into the environment (DNIRs)</w:t>
      </w:r>
    </w:p>
    <w:p w14:paraId="39A08D54" w14:textId="77777777" w:rsidR="0018635E" w:rsidRPr="0018635E" w:rsidRDefault="0018635E" w:rsidP="009F018E">
      <w:pPr>
        <w:pStyle w:val="ListParagraph"/>
        <w:numPr>
          <w:ilvl w:val="0"/>
          <w:numId w:val="49"/>
        </w:numPr>
      </w:pPr>
      <w:r w:rsidRPr="0018635E">
        <w:t>Received notice of 1673 notifiable low risk dealings</w:t>
      </w:r>
    </w:p>
    <w:p w14:paraId="6A37CF86" w14:textId="77777777" w:rsidR="00DF7AE5" w:rsidRDefault="00DF7AE5" w:rsidP="0018635E">
      <w:r>
        <w:br w:type="page"/>
      </w:r>
    </w:p>
    <w:p w14:paraId="7A213ED0" w14:textId="607F9002" w:rsidR="004C6AA9" w:rsidRDefault="00E672EA" w:rsidP="00913B9E">
      <w:pPr>
        <w:pStyle w:val="Heading1"/>
      </w:pPr>
      <w:bookmarkStart w:id="85" w:name="_Toc95326319"/>
      <w:r>
        <w:lastRenderedPageBreak/>
        <w:t>Appendix 5</w:t>
      </w:r>
      <w:bookmarkEnd w:id="85"/>
    </w:p>
    <w:p w14:paraId="1F7121BA" w14:textId="78F01871" w:rsidR="005922A6" w:rsidRDefault="005922A6" w:rsidP="005922A6">
      <w:pPr>
        <w:pStyle w:val="Heading2"/>
      </w:pPr>
      <w:bookmarkStart w:id="86" w:name="_Toc95326320"/>
      <w:r>
        <w:t>Structure of the Ofﬁce of the Gene Technology Regulator</w:t>
      </w:r>
      <w:bookmarkEnd w:id="86"/>
    </w:p>
    <w:p w14:paraId="7B64643B" w14:textId="2DE696EC" w:rsidR="00913B9E" w:rsidRPr="005922A6" w:rsidRDefault="005922A6" w:rsidP="005922A6">
      <w:pPr>
        <w:rPr>
          <w:b/>
          <w:bCs/>
        </w:rPr>
      </w:pPr>
      <w:r w:rsidRPr="005922A6">
        <w:rPr>
          <w:b/>
          <w:bCs/>
        </w:rPr>
        <w:t>Figure 3: Structure of the Ofﬁce of the Gene Technology Regulator</w:t>
      </w:r>
    </w:p>
    <w:p w14:paraId="69299C83" w14:textId="231BBED9" w:rsidR="0018635E" w:rsidRDefault="0018635E" w:rsidP="004C6AA9">
      <w:pPr>
        <w:autoSpaceDE w:val="0"/>
        <w:autoSpaceDN w:val="0"/>
        <w:adjustRightInd w:val="0"/>
        <w:spacing w:after="0" w:line="240" w:lineRule="auto"/>
        <w:rPr>
          <w:rFonts w:asciiTheme="minorHAnsi" w:hAnsiTheme="minorHAnsi" w:cstheme="minorHAnsi"/>
        </w:rPr>
      </w:pPr>
      <w:r>
        <w:rPr>
          <w:noProof/>
          <w:lang w:eastAsia="en-AU"/>
        </w:rPr>
        <w:drawing>
          <wp:inline distT="0" distB="0" distL="0" distR="0" wp14:anchorId="7A7541E7" wp14:editId="778A186B">
            <wp:extent cx="4050707" cy="3169140"/>
            <wp:effectExtent l="0" t="0" r="6985" b="0"/>
            <wp:docPr id="202" name="Picture 202" descr="Structure of the Office of the Gene Technology Regulator" title="Figure 3: Structure of the OG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0796" t="20391" r="5313"/>
                    <a:stretch/>
                  </pic:blipFill>
                  <pic:spPr bwMode="auto">
                    <a:xfrm>
                      <a:off x="0" y="0"/>
                      <a:ext cx="4051295" cy="3169600"/>
                    </a:xfrm>
                    <a:prstGeom prst="rect">
                      <a:avLst/>
                    </a:prstGeom>
                    <a:ln>
                      <a:noFill/>
                    </a:ln>
                    <a:extLst>
                      <a:ext uri="{53640926-AAD7-44D8-BBD7-CCE9431645EC}">
                        <a14:shadowObscured xmlns:a14="http://schemas.microsoft.com/office/drawing/2010/main"/>
                      </a:ext>
                    </a:extLst>
                  </pic:spPr>
                </pic:pic>
              </a:graphicData>
            </a:graphic>
          </wp:inline>
        </w:drawing>
      </w:r>
    </w:p>
    <w:p w14:paraId="385DCAA0" w14:textId="77777777" w:rsidR="0011125B" w:rsidRDefault="0011125B" w:rsidP="005922A6">
      <w:pPr>
        <w:pStyle w:val="Heading3"/>
      </w:pPr>
      <w:r w:rsidRPr="0011125B">
        <w:t>Evaluation Branch</w:t>
      </w:r>
    </w:p>
    <w:p w14:paraId="22EC8A73" w14:textId="77777777" w:rsidR="0011125B" w:rsidRPr="00F33301" w:rsidRDefault="0011125B" w:rsidP="00F33301">
      <w:pPr>
        <w:pStyle w:val="Heading4"/>
      </w:pPr>
      <w:r w:rsidRPr="00F33301">
        <w:t>Evaluation Section 1</w:t>
      </w:r>
    </w:p>
    <w:p w14:paraId="678829C1" w14:textId="77777777" w:rsidR="00DF7AE5" w:rsidRDefault="0011125B" w:rsidP="00F33301">
      <w:r w:rsidRPr="0011125B">
        <w:t xml:space="preserve">Evaluates applications for </w:t>
      </w:r>
      <w:r w:rsidRPr="005922A6">
        <w:t>dealings</w:t>
      </w:r>
      <w:r w:rsidRPr="0011125B">
        <w:t xml:space="preserve"> </w:t>
      </w:r>
      <w:r w:rsidRPr="00F33301">
        <w:t>involving</w:t>
      </w:r>
      <w:r w:rsidRPr="0011125B">
        <w:t xml:space="preserve"> intentional release (DIRs) of GMOs</w:t>
      </w:r>
      <w:r>
        <w:t xml:space="preserve"> </w:t>
      </w:r>
      <w:r w:rsidRPr="0011125B">
        <w:t>(including, to date, GM cotton, rice, white clover, papaya, grapevine) into the</w:t>
      </w:r>
      <w:r>
        <w:t xml:space="preserve"> </w:t>
      </w:r>
      <w:r w:rsidRPr="0011125B">
        <w:t>environment.</w:t>
      </w:r>
      <w:r>
        <w:t xml:space="preserve"> </w:t>
      </w:r>
      <w:r w:rsidRPr="0011125B">
        <w:t>Responsible for oversight of cotton research projects, OGTR library and</w:t>
      </w:r>
      <w:r>
        <w:t xml:space="preserve"> </w:t>
      </w:r>
      <w:r w:rsidRPr="0011125B">
        <w:t>reference manager database.</w:t>
      </w:r>
    </w:p>
    <w:p w14:paraId="16909458" w14:textId="77777777" w:rsidR="00CE2014" w:rsidRPr="00CE2014" w:rsidRDefault="00CE2014" w:rsidP="00F33301">
      <w:pPr>
        <w:pStyle w:val="Heading4"/>
      </w:pPr>
      <w:r w:rsidRPr="00CE2014">
        <w:t>Evaluation Section 2</w:t>
      </w:r>
    </w:p>
    <w:p w14:paraId="4397BA54" w14:textId="77777777" w:rsidR="00CE2014" w:rsidRDefault="00CE2014" w:rsidP="00F33301">
      <w:r w:rsidRPr="00CE2014">
        <w:t xml:space="preserve">Evaluates DIRs licence applications (including, to </w:t>
      </w:r>
      <w:r w:rsidRPr="00F33301">
        <w:t>date</w:t>
      </w:r>
      <w:r w:rsidRPr="00CE2014">
        <w:t>, GM canola, Indian mustard,</w:t>
      </w:r>
      <w:r>
        <w:t xml:space="preserve"> </w:t>
      </w:r>
      <w:r w:rsidRPr="00CE2014">
        <w:t>wheat, sugarcane</w:t>
      </w:r>
      <w:r>
        <w:t>,</w:t>
      </w:r>
      <w:r w:rsidRPr="00CE2014">
        <w:t xml:space="preserve"> poppy, carnations, pineapple). </w:t>
      </w:r>
      <w:proofErr w:type="gramStart"/>
      <w:r w:rsidRPr="00CE2014">
        <w:t>Also</w:t>
      </w:r>
      <w:proofErr w:type="gramEnd"/>
      <w:r w:rsidRPr="00CE2014">
        <w:t xml:space="preserve"> responsible (with Evaluation</w:t>
      </w:r>
      <w:r>
        <w:t xml:space="preserve"> </w:t>
      </w:r>
      <w:r w:rsidRPr="00CE2014">
        <w:t>Section 1) for transfers, variations and surrender of DIR licences, plus DIR standard</w:t>
      </w:r>
      <w:r>
        <w:t xml:space="preserve"> </w:t>
      </w:r>
      <w:r w:rsidRPr="00CE2014">
        <w:t>operating procedures and templates.</w:t>
      </w:r>
    </w:p>
    <w:p w14:paraId="13E46BD5" w14:textId="77777777" w:rsidR="00CE2014" w:rsidRPr="00CE2014" w:rsidRDefault="00CE2014" w:rsidP="00F33301">
      <w:pPr>
        <w:pStyle w:val="Heading4"/>
      </w:pPr>
      <w:r w:rsidRPr="00CE2014">
        <w:t>Contained Dealings Evaluation Section</w:t>
      </w:r>
    </w:p>
    <w:p w14:paraId="3D0983ED" w14:textId="77777777" w:rsidR="00CE2014" w:rsidRPr="00CE2014" w:rsidRDefault="00CE2014" w:rsidP="00F33301">
      <w:r w:rsidRPr="00CE2014">
        <w:t xml:space="preserve">Evaluates applications for dealings not involving </w:t>
      </w:r>
      <w:r w:rsidRPr="00F33301">
        <w:t>intentional</w:t>
      </w:r>
      <w:r w:rsidRPr="00CE2014">
        <w:t xml:space="preserve"> release into the</w:t>
      </w:r>
      <w:r>
        <w:t xml:space="preserve"> </w:t>
      </w:r>
      <w:r w:rsidRPr="00CE2014">
        <w:t xml:space="preserve">environment (DNIRs) also known as ‘contained </w:t>
      </w:r>
      <w:proofErr w:type="gramStart"/>
      <w:r w:rsidRPr="00CE2014">
        <w:t>dealings’</w:t>
      </w:r>
      <w:proofErr w:type="gramEnd"/>
      <w:r w:rsidRPr="00CE2014">
        <w:t>. The Section also handles</w:t>
      </w:r>
      <w:r>
        <w:t xml:space="preserve"> notifi</w:t>
      </w:r>
      <w:r w:rsidRPr="00CE2014">
        <w:t xml:space="preserve">cations of </w:t>
      </w:r>
      <w:proofErr w:type="gramStart"/>
      <w:r w:rsidRPr="00CE2014">
        <w:t>low risk</w:t>
      </w:r>
      <w:proofErr w:type="gramEnd"/>
      <w:r w:rsidRPr="00CE2014">
        <w:t xml:space="preserve"> dealings (NLRDs) viral DIR applications (e.g. cholera and</w:t>
      </w:r>
      <w:r>
        <w:t xml:space="preserve"> </w:t>
      </w:r>
      <w:r w:rsidRPr="00CE2014">
        <w:t>bovine adenovirus vaccines) plus training for organisations and/or institutional</w:t>
      </w:r>
      <w:r>
        <w:t xml:space="preserve"> </w:t>
      </w:r>
      <w:r w:rsidRPr="00CE2014">
        <w:t>biosafety committees (IBCs).</w:t>
      </w:r>
    </w:p>
    <w:p w14:paraId="55DF8DF7" w14:textId="77777777" w:rsidR="00CE2014" w:rsidRPr="00CE2014" w:rsidRDefault="00CE2014" w:rsidP="00F33301">
      <w:pPr>
        <w:pStyle w:val="Heading4"/>
      </w:pPr>
      <w:r w:rsidRPr="00CE2014">
        <w:t>Application and Licence Management Section</w:t>
      </w:r>
    </w:p>
    <w:p w14:paraId="7C56294C" w14:textId="77777777" w:rsidR="00CE2014" w:rsidRDefault="00CE2014" w:rsidP="00F33301">
      <w:r w:rsidRPr="00F33301">
        <w:t>Responsible</w:t>
      </w:r>
      <w:r w:rsidRPr="00CE2014">
        <w:t xml:space="preserve"> for receiving/acknowledging all applications, processing accreditation</w:t>
      </w:r>
      <w:r>
        <w:t xml:space="preserve"> </w:t>
      </w:r>
      <w:r w:rsidRPr="00CE2014">
        <w:t>applications, managing Gene Technology Information Management System (GTIMS)</w:t>
      </w:r>
      <w:r>
        <w:t xml:space="preserve"> </w:t>
      </w:r>
      <w:r w:rsidRPr="00CE2014">
        <w:t>data, coordinating reviews (</w:t>
      </w:r>
      <w:proofErr w:type="gramStart"/>
      <w:r w:rsidRPr="00CE2014">
        <w:t>e.g.</w:t>
      </w:r>
      <w:proofErr w:type="gramEnd"/>
      <w:r w:rsidRPr="00CE2014">
        <w:t xml:space="preserve"> guidelines</w:t>
      </w:r>
      <w:r>
        <w:t xml:space="preserve"> for contained facility certifi</w:t>
      </w:r>
      <w:r w:rsidRPr="00CE2014">
        <w:t>cation) and</w:t>
      </w:r>
      <w:r>
        <w:t xml:space="preserve"> certifi</w:t>
      </w:r>
      <w:r w:rsidRPr="00CE2014">
        <w:t>cation applications.</w:t>
      </w:r>
    </w:p>
    <w:p w14:paraId="107B5062" w14:textId="77777777" w:rsidR="00CE2014" w:rsidRPr="00CE2014" w:rsidRDefault="00CE2014" w:rsidP="00F33301">
      <w:pPr>
        <w:pStyle w:val="Heading4"/>
      </w:pPr>
      <w:r w:rsidRPr="00CE2014">
        <w:lastRenderedPageBreak/>
        <w:t>Science Cohort</w:t>
      </w:r>
    </w:p>
    <w:p w14:paraId="65C7782C" w14:textId="77777777" w:rsidR="00CE2014" w:rsidRPr="00CE2014" w:rsidRDefault="00CE2014" w:rsidP="00F33301">
      <w:r w:rsidRPr="00CE2014">
        <w:t xml:space="preserve">Senior OGTR </w:t>
      </w:r>
      <w:r w:rsidRPr="00F33301">
        <w:t>staff</w:t>
      </w:r>
      <w:r w:rsidRPr="00CE2014">
        <w:t xml:space="preserve"> members have been given responsibility for developing and</w:t>
      </w:r>
      <w:r>
        <w:t xml:space="preserve"> </w:t>
      </w:r>
      <w:r w:rsidRPr="00CE2014">
        <w:t>managing major science policy projects which impa</w:t>
      </w:r>
      <w:r>
        <w:t>ct across the offi</w:t>
      </w:r>
      <w:r w:rsidRPr="00CE2014">
        <w:t>ce (</w:t>
      </w:r>
      <w:proofErr w:type="gramStart"/>
      <w:r w:rsidRPr="00CE2014">
        <w:t>e.g.</w:t>
      </w:r>
      <w:proofErr w:type="gramEnd"/>
      <w:r w:rsidRPr="00CE2014">
        <w:t xml:space="preserve"> review of</w:t>
      </w:r>
      <w:r>
        <w:t xml:space="preserve"> </w:t>
      </w:r>
      <w:r w:rsidRPr="00CE2014">
        <w:t>the risk analysis framework, organisation of national IBC forum, APVMA/TGA science</w:t>
      </w:r>
      <w:r>
        <w:t xml:space="preserve"> </w:t>
      </w:r>
      <w:r w:rsidRPr="00CE2014">
        <w:t>forum, authoring scientific papers and oversighting research).</w:t>
      </w:r>
    </w:p>
    <w:p w14:paraId="0A03CC25" w14:textId="77777777" w:rsidR="00CE2014" w:rsidRPr="00CE2014" w:rsidRDefault="00CE2014" w:rsidP="00F33301">
      <w:pPr>
        <w:pStyle w:val="Heading3"/>
      </w:pPr>
      <w:r w:rsidRPr="00CE2014">
        <w:t>Policy and Compliance Branch</w:t>
      </w:r>
    </w:p>
    <w:p w14:paraId="06AF831F" w14:textId="77777777" w:rsidR="00CE2014" w:rsidRPr="00CE2014" w:rsidRDefault="00CE2014" w:rsidP="00F33301">
      <w:pPr>
        <w:pStyle w:val="Heading4"/>
      </w:pPr>
      <w:r w:rsidRPr="00CE2014">
        <w:t>Business Management Section</w:t>
      </w:r>
    </w:p>
    <w:p w14:paraId="1645F429" w14:textId="77777777" w:rsidR="00CE2014" w:rsidRDefault="00CE2014" w:rsidP="00F33301">
      <w:r w:rsidRPr="00CE2014">
        <w:t>The Business Management Section (</w:t>
      </w:r>
      <w:r w:rsidRPr="00F33301">
        <w:t>BMS</w:t>
      </w:r>
      <w:r w:rsidRPr="00CE2014">
        <w:t>) delivers business management services</w:t>
      </w:r>
      <w:r>
        <w:t xml:space="preserve"> </w:t>
      </w:r>
      <w:r w:rsidRPr="00CE2014">
        <w:t>in partnership with the Therapeutic Goods Administration and the Department of</w:t>
      </w:r>
      <w:r>
        <w:t xml:space="preserve"> </w:t>
      </w:r>
      <w:r w:rsidRPr="00CE2014">
        <w:t>Health and Ageing. The Section provides Divisional Liaison Officer services including</w:t>
      </w:r>
      <w:r>
        <w:t xml:space="preserve"> administrative and fi</w:t>
      </w:r>
      <w:r w:rsidRPr="00CE2014">
        <w:t>nancial reporting.</w:t>
      </w:r>
    </w:p>
    <w:p w14:paraId="6DF9B8D1" w14:textId="77777777" w:rsidR="00CE2014" w:rsidRDefault="00CE2014" w:rsidP="00F33301">
      <w:r w:rsidRPr="00CE2014">
        <w:t xml:space="preserve">BMS roles </w:t>
      </w:r>
      <w:proofErr w:type="gramStart"/>
      <w:r w:rsidRPr="00CE2014">
        <w:t>include:</w:t>
      </w:r>
      <w:proofErr w:type="gramEnd"/>
      <w:r w:rsidRPr="00CE2014">
        <w:t xml:space="preserve"> account payments; budgets; financial planning; stores acquisition;</w:t>
      </w:r>
      <w:r>
        <w:t xml:space="preserve"> </w:t>
      </w:r>
      <w:r w:rsidRPr="00CE2014">
        <w:t>staffing/human resource management; staff training; accommodation; property and</w:t>
      </w:r>
      <w:r>
        <w:t xml:space="preserve"> </w:t>
      </w:r>
      <w:r w:rsidRPr="00CE2014">
        <w:t>asset management; and ongoing development of GTIMS.</w:t>
      </w:r>
    </w:p>
    <w:p w14:paraId="0813B5D9" w14:textId="77777777" w:rsidR="00CE2014" w:rsidRPr="00CE2014" w:rsidRDefault="00CE2014" w:rsidP="00F33301">
      <w:pPr>
        <w:pStyle w:val="Heading4"/>
      </w:pPr>
      <w:r w:rsidRPr="00CE2014">
        <w:t>Monitoring and Compliance Section</w:t>
      </w:r>
    </w:p>
    <w:p w14:paraId="7733FE53" w14:textId="77777777" w:rsidR="00CE2014" w:rsidRDefault="00CE2014" w:rsidP="00F33301">
      <w:r w:rsidRPr="00CE2014">
        <w:t xml:space="preserve">The Monitoring and </w:t>
      </w:r>
      <w:r w:rsidRPr="00F33301">
        <w:t>Compliance</w:t>
      </w:r>
      <w:r w:rsidRPr="00CE2014">
        <w:t xml:space="preserve"> Section focuses on the management of dealings for</w:t>
      </w:r>
      <w:r>
        <w:t xml:space="preserve"> fi</w:t>
      </w:r>
      <w:r w:rsidRPr="00CE2014">
        <w:t>eld trial sites and within contained facilities to ensure:</w:t>
      </w:r>
    </w:p>
    <w:p w14:paraId="20B0B4B5" w14:textId="77777777" w:rsidR="00CE2014" w:rsidRPr="00F33301" w:rsidRDefault="00CE2014" w:rsidP="009F018E">
      <w:pPr>
        <w:pStyle w:val="ListParagraph"/>
        <w:numPr>
          <w:ilvl w:val="0"/>
          <w:numId w:val="50"/>
        </w:numPr>
      </w:pPr>
      <w:r w:rsidRPr="00F33301">
        <w:t xml:space="preserve">minimisation of the risk of dissemination of a GMO and its genetic </w:t>
      </w:r>
      <w:proofErr w:type="gramStart"/>
      <w:r w:rsidRPr="00F33301">
        <w:t>material;</w:t>
      </w:r>
      <w:proofErr w:type="gramEnd"/>
    </w:p>
    <w:p w14:paraId="361155A7" w14:textId="77777777" w:rsidR="00CE2014" w:rsidRPr="00F33301" w:rsidRDefault="00CE2014" w:rsidP="009F018E">
      <w:pPr>
        <w:pStyle w:val="ListParagraph"/>
        <w:numPr>
          <w:ilvl w:val="0"/>
          <w:numId w:val="50"/>
        </w:numPr>
      </w:pPr>
      <w:r w:rsidRPr="00F33301">
        <w:t>minimisation of the risk of persistence of a GMO in the environment; and</w:t>
      </w:r>
    </w:p>
    <w:p w14:paraId="520FAF99" w14:textId="77777777" w:rsidR="00CE2014" w:rsidRPr="00F33301" w:rsidRDefault="00CE2014" w:rsidP="009F018E">
      <w:pPr>
        <w:pStyle w:val="ListParagraph"/>
        <w:numPr>
          <w:ilvl w:val="0"/>
          <w:numId w:val="50"/>
        </w:numPr>
      </w:pPr>
      <w:r w:rsidRPr="00F33301">
        <w:t>full control of a GMO is maintained.</w:t>
      </w:r>
    </w:p>
    <w:p w14:paraId="5C519A13" w14:textId="77777777" w:rsidR="00CE2014" w:rsidRDefault="00CE2014" w:rsidP="00F33301">
      <w:r w:rsidRPr="00F33301">
        <w:t>The</w:t>
      </w:r>
      <w:r w:rsidRPr="00CE2014">
        <w:t xml:space="preserve"> Section is committed to carry out inspections each year of at least 20% of current</w:t>
      </w:r>
      <w:r>
        <w:t xml:space="preserve"> fi</w:t>
      </w:r>
      <w:r w:rsidRPr="00CE2014">
        <w:t>e</w:t>
      </w:r>
      <w:r>
        <w:t>ld trial sites, post-harvest field trial sites and certifi</w:t>
      </w:r>
      <w:r w:rsidRPr="00CE2014">
        <w:t>ed PC3, PC4 and PC2 Large</w:t>
      </w:r>
      <w:r w:rsidR="00DB7197">
        <w:t xml:space="preserve"> </w:t>
      </w:r>
      <w:r w:rsidRPr="00CE2014">
        <w:t>Scale contained facilities. PC2 and PC1 (lower risk) facilities are inspected randomly.</w:t>
      </w:r>
      <w:r w:rsidR="00DB7197">
        <w:t xml:space="preserve"> </w:t>
      </w:r>
      <w:r w:rsidRPr="00CE2014">
        <w:t>The work includes monitoring, auditing, practice reviews, risk assessment and</w:t>
      </w:r>
      <w:r w:rsidR="00DB7197">
        <w:t xml:space="preserve"> </w:t>
      </w:r>
      <w:r w:rsidRPr="00CE2014">
        <w:t xml:space="preserve">management, </w:t>
      </w:r>
      <w:proofErr w:type="gramStart"/>
      <w:r w:rsidRPr="00CE2014">
        <w:t>investigations</w:t>
      </w:r>
      <w:proofErr w:type="gramEnd"/>
      <w:r w:rsidRPr="00CE2014">
        <w:t xml:space="preserve"> and reporting.</w:t>
      </w:r>
    </w:p>
    <w:p w14:paraId="672386A3" w14:textId="77777777" w:rsidR="00520E9D" w:rsidRPr="00520E9D" w:rsidRDefault="00520E9D" w:rsidP="00F33301">
      <w:pPr>
        <w:pStyle w:val="Heading4"/>
      </w:pPr>
      <w:r w:rsidRPr="00520E9D">
        <w:t>Policy, Communication and Secretariat Section</w:t>
      </w:r>
    </w:p>
    <w:p w14:paraId="34C12907" w14:textId="77777777" w:rsidR="00520E9D" w:rsidRPr="00F33301" w:rsidRDefault="00520E9D" w:rsidP="00F33301">
      <w:r w:rsidRPr="00F33301">
        <w:t>Provides policy, information and coordination support for the Office and acts as</w:t>
      </w:r>
      <w:r w:rsidR="007521CD" w:rsidRPr="00F33301">
        <w:t xml:space="preserve"> </w:t>
      </w:r>
      <w:r w:rsidRPr="00F33301">
        <w:t>the coordination point with other agencies and organisations involved with the</w:t>
      </w:r>
      <w:r w:rsidR="007521CD" w:rsidRPr="00F33301">
        <w:t xml:space="preserve"> </w:t>
      </w:r>
      <w:r w:rsidRPr="00F33301">
        <w:t>regulation of genetica</w:t>
      </w:r>
      <w:r w:rsidR="00EB2EAC" w:rsidRPr="00F33301">
        <w:t>lly modified organisms. Specifi</w:t>
      </w:r>
      <w:r w:rsidRPr="00F33301">
        <w:t>cally, the Section manages the</w:t>
      </w:r>
      <w:r w:rsidR="00EB2EAC" w:rsidRPr="00F33301">
        <w:t xml:space="preserve"> </w:t>
      </w:r>
      <w:r w:rsidRPr="00F33301">
        <w:t>OGTR website www.ogtr.gov.au, the 1800 181 030 toll-free telephone number and</w:t>
      </w:r>
      <w:r w:rsidR="00EB2EAC" w:rsidRPr="00F33301">
        <w:t xml:space="preserve"> </w:t>
      </w:r>
      <w:r w:rsidRPr="00F33301">
        <w:t>ogtr@health.gov.au email inquiries.</w:t>
      </w:r>
    </w:p>
    <w:p w14:paraId="1AB09D81" w14:textId="77777777" w:rsidR="00520E9D" w:rsidRPr="00F33301" w:rsidRDefault="00520E9D" w:rsidP="00F33301">
      <w:r w:rsidRPr="00F33301">
        <w:t xml:space="preserve">Other activities </w:t>
      </w:r>
      <w:proofErr w:type="gramStart"/>
      <w:r w:rsidRPr="00F33301">
        <w:t>include:</w:t>
      </w:r>
      <w:proofErr w:type="gramEnd"/>
      <w:r w:rsidRPr="00F33301">
        <w:t xml:space="preserve"> production of quarterly/annual reports, coordination of</w:t>
      </w:r>
      <w:r w:rsidR="00EB2EAC" w:rsidRPr="00F33301">
        <w:t xml:space="preserve"> </w:t>
      </w:r>
      <w:r w:rsidRPr="00F33301">
        <w:t>relationships with other Australian Government agencies, speeches, cross-OGTR</w:t>
      </w:r>
      <w:r w:rsidR="00EB2EAC" w:rsidRPr="00F33301">
        <w:t xml:space="preserve"> </w:t>
      </w:r>
      <w:r w:rsidRPr="00F33301">
        <w:t>projects (e.g. review of Gene Technology Regulations 2001, international regulatory</w:t>
      </w:r>
      <w:r w:rsidR="00EB2EAC" w:rsidRPr="00F33301">
        <w:t xml:space="preserve"> </w:t>
      </w:r>
      <w:r w:rsidRPr="00F33301">
        <w:t>policy and (with TGA) coordination of min</w:t>
      </w:r>
      <w:r w:rsidR="00EB2EAC" w:rsidRPr="00F33301">
        <w:t>isterial correspondence, briefi</w:t>
      </w:r>
      <w:r w:rsidRPr="00F33301">
        <w:t>ngs and</w:t>
      </w:r>
      <w:r w:rsidR="00EB2EAC" w:rsidRPr="00F33301">
        <w:t xml:space="preserve"> </w:t>
      </w:r>
      <w:r w:rsidRPr="00F33301">
        <w:t>parliamentary liaison).</w:t>
      </w:r>
    </w:p>
    <w:p w14:paraId="04971B89" w14:textId="356BD24D" w:rsidR="00520E9D" w:rsidRPr="00F33301" w:rsidRDefault="00520E9D" w:rsidP="00F33301">
      <w:r w:rsidRPr="00F33301">
        <w:t>Responsible for committees established to assist the Gene Technology Regulator and</w:t>
      </w:r>
      <w:r w:rsidR="00EB2EAC" w:rsidRPr="00F33301">
        <w:t xml:space="preserve"> </w:t>
      </w:r>
      <w:r w:rsidRPr="00F33301">
        <w:t>Ministerial Council perform functions specified in the Gene Technology Act 2000:</w:t>
      </w:r>
    </w:p>
    <w:p w14:paraId="3407F6B1" w14:textId="77777777" w:rsidR="00520E9D" w:rsidRPr="00F33301" w:rsidRDefault="00520E9D" w:rsidP="009F018E">
      <w:pPr>
        <w:pStyle w:val="ListParagraph"/>
        <w:numPr>
          <w:ilvl w:val="0"/>
          <w:numId w:val="51"/>
        </w:numPr>
      </w:pPr>
      <w:r w:rsidRPr="00F33301">
        <w:t>Gene Technology Community Consultative Committee (GTCCC): provides</w:t>
      </w:r>
      <w:r w:rsidR="00EB2EAC" w:rsidRPr="00F33301">
        <w:t xml:space="preserve"> </w:t>
      </w:r>
      <w:r w:rsidRPr="00F33301">
        <w:t>advice to the Regulator and Ministerial Council on matters of general concern</w:t>
      </w:r>
      <w:r w:rsidR="00EB2EAC" w:rsidRPr="00F33301">
        <w:t xml:space="preserve"> </w:t>
      </w:r>
      <w:r w:rsidRPr="00F33301">
        <w:t>to the</w:t>
      </w:r>
      <w:r w:rsidR="00EB2EAC" w:rsidRPr="00F33301">
        <w:t xml:space="preserve"> </w:t>
      </w:r>
      <w:r w:rsidRPr="00F33301">
        <w:t>community in relation to GMOs.</w:t>
      </w:r>
    </w:p>
    <w:p w14:paraId="308FA650" w14:textId="77777777" w:rsidR="00520E9D" w:rsidRPr="00F33301" w:rsidRDefault="00520E9D" w:rsidP="009F018E">
      <w:pPr>
        <w:pStyle w:val="ListParagraph"/>
        <w:numPr>
          <w:ilvl w:val="0"/>
          <w:numId w:val="51"/>
        </w:numPr>
      </w:pPr>
      <w:r w:rsidRPr="00F33301">
        <w:lastRenderedPageBreak/>
        <w:t>Gene Technology Ethics Committee (GTEC): provides advice on ethical issues</w:t>
      </w:r>
      <w:r w:rsidR="00EB2EAC" w:rsidRPr="00F33301">
        <w:t xml:space="preserve"> </w:t>
      </w:r>
      <w:r w:rsidRPr="00F33301">
        <w:t>relating to gene technology and the need for, and content of, any codes of practice</w:t>
      </w:r>
      <w:r w:rsidR="00EB2EAC" w:rsidRPr="00F33301">
        <w:t xml:space="preserve"> </w:t>
      </w:r>
      <w:r w:rsidRPr="00F33301">
        <w:t>or policy principles proposed by the Regulator or the Ministerial Council.</w:t>
      </w:r>
    </w:p>
    <w:p w14:paraId="11EC25E1" w14:textId="77777777" w:rsidR="00520E9D" w:rsidRPr="00F33301" w:rsidRDefault="00520E9D" w:rsidP="009F018E">
      <w:pPr>
        <w:pStyle w:val="ListParagraph"/>
        <w:numPr>
          <w:ilvl w:val="0"/>
          <w:numId w:val="51"/>
        </w:numPr>
      </w:pPr>
      <w:r w:rsidRPr="00F33301">
        <w:t>Gene Technology Technical Advisory Committee (GTAC): provides scientific</w:t>
      </w:r>
      <w:r w:rsidR="00EB2EAC" w:rsidRPr="00F33301">
        <w:t xml:space="preserve"> </w:t>
      </w:r>
      <w:r w:rsidRPr="00F33301">
        <w:t>and technical advice on all issues related to GMOs to the Regulator and the</w:t>
      </w:r>
      <w:r w:rsidR="00EB2EAC" w:rsidRPr="00F33301">
        <w:t xml:space="preserve"> </w:t>
      </w:r>
      <w:r w:rsidRPr="00F33301">
        <w:t>Ministerial Council.</w:t>
      </w:r>
    </w:p>
    <w:p w14:paraId="646871D2" w14:textId="77777777" w:rsidR="00520E9D" w:rsidRPr="003A73FE" w:rsidRDefault="00520E9D" w:rsidP="004446E1">
      <w:pPr>
        <w:pStyle w:val="Heading4"/>
      </w:pPr>
      <w:r w:rsidRPr="003A73FE">
        <w:t>Legal Unit</w:t>
      </w:r>
    </w:p>
    <w:p w14:paraId="15E37EC0" w14:textId="77777777" w:rsidR="00DB7197" w:rsidRDefault="00520E9D" w:rsidP="004446E1">
      <w:r w:rsidRPr="00520E9D">
        <w:t>Provides legal advice to the Regulator and OGTR on the operation of Commonwealth</w:t>
      </w:r>
      <w:r w:rsidR="00EB2EAC">
        <w:t xml:space="preserve"> </w:t>
      </w:r>
      <w:r w:rsidRPr="00520E9D">
        <w:t>and State laws affecting the functions of the Regulator and the Office, including the</w:t>
      </w:r>
      <w:r w:rsidR="00EB2EAC">
        <w:t xml:space="preserve"> </w:t>
      </w:r>
      <w:r w:rsidRPr="00520E9D">
        <w:t xml:space="preserve">setting of licence </w:t>
      </w:r>
      <w:proofErr w:type="gramStart"/>
      <w:r w:rsidRPr="00520E9D">
        <w:t>conditions</w:t>
      </w:r>
      <w:proofErr w:type="gramEnd"/>
      <w:r w:rsidRPr="00520E9D">
        <w:t xml:space="preserve"> and handling confidential commercial information (CCI).</w:t>
      </w:r>
    </w:p>
    <w:p w14:paraId="49EF14D0" w14:textId="77777777" w:rsidR="003A73FE" w:rsidRPr="004446E1" w:rsidRDefault="003A73FE" w:rsidP="004446E1">
      <w:r>
        <w:br w:type="page"/>
      </w:r>
    </w:p>
    <w:p w14:paraId="73FE455A" w14:textId="2110AFA4" w:rsidR="00EB2EAC" w:rsidRPr="004446E1" w:rsidRDefault="00E672EA" w:rsidP="004446E1">
      <w:pPr>
        <w:pStyle w:val="Heading1"/>
      </w:pPr>
      <w:bookmarkStart w:id="87" w:name="_Toc95326321"/>
      <w:r w:rsidRPr="004446E1">
        <w:lastRenderedPageBreak/>
        <w:t>Appendix 6</w:t>
      </w:r>
      <w:bookmarkEnd w:id="87"/>
    </w:p>
    <w:p w14:paraId="28ABE3A7" w14:textId="77777777" w:rsidR="003A73FE" w:rsidRPr="004446E1" w:rsidRDefault="003A73FE" w:rsidP="004446E1">
      <w:pPr>
        <w:pStyle w:val="Heading2"/>
      </w:pPr>
      <w:bookmarkStart w:id="88" w:name="_Toc95326322"/>
      <w:r w:rsidRPr="004446E1">
        <w:t>The Inter-governmental Agreement on Gene Technology</w:t>
      </w:r>
      <w:bookmarkEnd w:id="88"/>
    </w:p>
    <w:p w14:paraId="44EC1EBC" w14:textId="77777777" w:rsidR="003A73FE" w:rsidRDefault="003A73FE" w:rsidP="00211CE6">
      <w:r>
        <w:t>AN AGREEMENT made the eleventh day of September Two Thousand and One,</w:t>
      </w:r>
      <w:r w:rsidR="006A612C">
        <w:t xml:space="preserve"> </w:t>
      </w:r>
      <w:r>
        <w:t>between —</w:t>
      </w:r>
    </w:p>
    <w:p w14:paraId="3163DA4E" w14:textId="77777777" w:rsidR="003A73FE" w:rsidRDefault="003A73FE" w:rsidP="009F018E">
      <w:pPr>
        <w:pStyle w:val="ListParagraph"/>
        <w:numPr>
          <w:ilvl w:val="0"/>
          <w:numId w:val="52"/>
        </w:numPr>
      </w:pPr>
      <w:r>
        <w:t>The COMMONWEALTH OF AUSTRALIA (‘the Commonwealth’) and</w:t>
      </w:r>
    </w:p>
    <w:p w14:paraId="5EBAAB2A" w14:textId="77777777" w:rsidR="003A73FE" w:rsidRDefault="003A73FE" w:rsidP="009F018E">
      <w:pPr>
        <w:pStyle w:val="ListParagraph"/>
        <w:numPr>
          <w:ilvl w:val="0"/>
          <w:numId w:val="52"/>
        </w:numPr>
      </w:pPr>
      <w:r>
        <w:t xml:space="preserve">The STATE OF NEW SOUTH </w:t>
      </w:r>
      <w:proofErr w:type="gramStart"/>
      <w:r>
        <w:t>WALES;</w:t>
      </w:r>
      <w:proofErr w:type="gramEnd"/>
    </w:p>
    <w:p w14:paraId="3A455961" w14:textId="77777777" w:rsidR="003A73FE" w:rsidRDefault="003A73FE" w:rsidP="009F018E">
      <w:pPr>
        <w:pStyle w:val="ListParagraph"/>
        <w:numPr>
          <w:ilvl w:val="0"/>
          <w:numId w:val="52"/>
        </w:numPr>
      </w:pPr>
      <w:r>
        <w:t xml:space="preserve">The STATE OF </w:t>
      </w:r>
      <w:proofErr w:type="gramStart"/>
      <w:r>
        <w:t>VICTORIA;</w:t>
      </w:r>
      <w:proofErr w:type="gramEnd"/>
    </w:p>
    <w:p w14:paraId="1182A007" w14:textId="77777777" w:rsidR="003A73FE" w:rsidRDefault="003A73FE" w:rsidP="009F018E">
      <w:pPr>
        <w:pStyle w:val="ListParagraph"/>
        <w:numPr>
          <w:ilvl w:val="0"/>
          <w:numId w:val="52"/>
        </w:numPr>
      </w:pPr>
      <w:r>
        <w:t xml:space="preserve">The STATE OF WESTERN </w:t>
      </w:r>
      <w:proofErr w:type="gramStart"/>
      <w:r>
        <w:t>AUSTRALIA;</w:t>
      </w:r>
      <w:proofErr w:type="gramEnd"/>
    </w:p>
    <w:p w14:paraId="5B41F273" w14:textId="77777777" w:rsidR="003A73FE" w:rsidRDefault="003A73FE" w:rsidP="009F018E">
      <w:pPr>
        <w:pStyle w:val="ListParagraph"/>
        <w:numPr>
          <w:ilvl w:val="0"/>
          <w:numId w:val="52"/>
        </w:numPr>
      </w:pPr>
      <w:r>
        <w:t xml:space="preserve">The STATE OF </w:t>
      </w:r>
      <w:proofErr w:type="gramStart"/>
      <w:r>
        <w:t>QUEENSLAND;</w:t>
      </w:r>
      <w:proofErr w:type="gramEnd"/>
    </w:p>
    <w:p w14:paraId="0BFF11AD" w14:textId="77777777" w:rsidR="003A73FE" w:rsidRDefault="003A73FE" w:rsidP="009F018E">
      <w:pPr>
        <w:pStyle w:val="ListParagraph"/>
        <w:numPr>
          <w:ilvl w:val="0"/>
          <w:numId w:val="52"/>
        </w:numPr>
      </w:pPr>
      <w:r>
        <w:t xml:space="preserve">The STATE OF SOUTH </w:t>
      </w:r>
      <w:proofErr w:type="gramStart"/>
      <w:r>
        <w:t>AUSTRALIA;</w:t>
      </w:r>
      <w:proofErr w:type="gramEnd"/>
    </w:p>
    <w:p w14:paraId="5355E2E7" w14:textId="77777777" w:rsidR="003A73FE" w:rsidRDefault="003A73FE" w:rsidP="009F018E">
      <w:pPr>
        <w:pStyle w:val="ListParagraph"/>
        <w:numPr>
          <w:ilvl w:val="0"/>
          <w:numId w:val="52"/>
        </w:numPr>
      </w:pPr>
      <w:r>
        <w:t xml:space="preserve">The STATE OF </w:t>
      </w:r>
      <w:proofErr w:type="gramStart"/>
      <w:r>
        <w:t>TASMANIA;</w:t>
      </w:r>
      <w:proofErr w:type="gramEnd"/>
    </w:p>
    <w:p w14:paraId="20EE9595" w14:textId="77777777" w:rsidR="003A73FE" w:rsidRDefault="003A73FE" w:rsidP="009F018E">
      <w:pPr>
        <w:pStyle w:val="ListParagraph"/>
        <w:numPr>
          <w:ilvl w:val="0"/>
          <w:numId w:val="52"/>
        </w:numPr>
      </w:pPr>
      <w:r>
        <w:t>The NORTHERN TERRITORY OF AUSTRALIA and</w:t>
      </w:r>
    </w:p>
    <w:p w14:paraId="7BED2A8D" w14:textId="77777777" w:rsidR="003A73FE" w:rsidRDefault="003A73FE" w:rsidP="009F018E">
      <w:pPr>
        <w:pStyle w:val="ListParagraph"/>
        <w:numPr>
          <w:ilvl w:val="0"/>
          <w:numId w:val="52"/>
        </w:numPr>
      </w:pPr>
      <w:r>
        <w:t>The AUSTRALIAN CAPITAL TERRITORY</w:t>
      </w:r>
    </w:p>
    <w:p w14:paraId="5486509E" w14:textId="78D3251D" w:rsidR="003A73FE" w:rsidRPr="00211CE6" w:rsidRDefault="003A73FE" w:rsidP="00211CE6">
      <w:r>
        <w:t>(collectively called ‘the States and Territories’).</w:t>
      </w:r>
    </w:p>
    <w:p w14:paraId="3FCF9EBB" w14:textId="77777777" w:rsidR="003A73FE" w:rsidRPr="003A73FE" w:rsidRDefault="003A73FE" w:rsidP="00211CE6">
      <w:pPr>
        <w:pStyle w:val="Heading3"/>
      </w:pPr>
      <w:r w:rsidRPr="003A73FE">
        <w:t>Recitals</w:t>
      </w:r>
    </w:p>
    <w:p w14:paraId="1B0943E7" w14:textId="77777777" w:rsidR="006A612C" w:rsidRDefault="003A73FE" w:rsidP="003A73FE">
      <w:r>
        <w:t>The Commonwealth and the States and Territories, recognising that there are existing legislative schemes that regulate some products of gene technology, have agreed that:</w:t>
      </w:r>
    </w:p>
    <w:p w14:paraId="4D7EB1D6" w14:textId="77777777" w:rsidR="003A73FE" w:rsidRDefault="003A73FE" w:rsidP="003A73FE">
      <w:r>
        <w:t>A. there is a need for a co-operative national legislative scheme to protect the health</w:t>
      </w:r>
      <w:r w:rsidR="006A612C">
        <w:t xml:space="preserve"> </w:t>
      </w:r>
      <w:r>
        <w:t>and safety of people and to protect the environment, by identifying risks posed by, or</w:t>
      </w:r>
      <w:r w:rsidR="006A612C">
        <w:t xml:space="preserve"> </w:t>
      </w:r>
      <w:proofErr w:type="gramStart"/>
      <w:r>
        <w:t>as a result of</w:t>
      </w:r>
      <w:proofErr w:type="gramEnd"/>
      <w:r>
        <w:t>, gene technology and by managing those risks through regulating certain</w:t>
      </w:r>
      <w:r w:rsidR="006A612C">
        <w:t xml:space="preserve"> </w:t>
      </w:r>
      <w:r>
        <w:t>d</w:t>
      </w:r>
      <w:r w:rsidR="006A612C">
        <w:t>ealings with genetically modifi</w:t>
      </w:r>
      <w:r>
        <w:t>ed organisms; and</w:t>
      </w:r>
    </w:p>
    <w:p w14:paraId="10792C12" w14:textId="77777777" w:rsidR="006A612C" w:rsidRDefault="006A612C" w:rsidP="006A612C">
      <w:r>
        <w:t>B. the Scheme should:</w:t>
      </w:r>
    </w:p>
    <w:p w14:paraId="139C7367" w14:textId="77777777" w:rsidR="006A612C" w:rsidRDefault="006A612C" w:rsidP="006A612C">
      <w:r>
        <w:t xml:space="preserve">(a) provide an efficient and effective regulatory system for the application of gene </w:t>
      </w:r>
      <w:proofErr w:type="gramStart"/>
      <w:r>
        <w:t>technologies;</w:t>
      </w:r>
      <w:proofErr w:type="gramEnd"/>
    </w:p>
    <w:p w14:paraId="7403E71E" w14:textId="77777777" w:rsidR="006A612C" w:rsidRDefault="006A612C" w:rsidP="006A612C">
      <w:r>
        <w:t>(b) operate in a seamless manner in conjunction with existing Commonwealth and State regulatory schemes relevant to genetically modified organisms and products derived from such organisms (for example, the schemes that regulate food, therapeutic goods, agricultural and veterinary chemicals and industrial chemicals</w:t>
      </w:r>
      <w:proofErr w:type="gramStart"/>
      <w:r>
        <w:t>);</w:t>
      </w:r>
      <w:proofErr w:type="gramEnd"/>
    </w:p>
    <w:p w14:paraId="54C66CA6" w14:textId="77777777" w:rsidR="006A612C" w:rsidRDefault="006A612C" w:rsidP="006A612C">
      <w:r>
        <w:t xml:space="preserve">(c) be nationally consistent, drawing on power conferred by the Commonwealth, State and Territory </w:t>
      </w:r>
      <w:proofErr w:type="gramStart"/>
      <w:r>
        <w:t>Parliaments;</w:t>
      </w:r>
      <w:proofErr w:type="gramEnd"/>
    </w:p>
    <w:p w14:paraId="5B42F4CB" w14:textId="77777777" w:rsidR="006A612C" w:rsidRDefault="006A612C" w:rsidP="006A612C">
      <w:r>
        <w:t>(d) be based on a scientific assessment of risks undertaken by an independent regulator, whose decisions must be consistent with policy principles issued by a Council of Ministers concerning social, cultural, ethical and other non-scientific matters (which principles must not derogate from the health and safety of people or the environment</w:t>
      </w:r>
      <w:proofErr w:type="gramStart"/>
      <w:r>
        <w:t>);</w:t>
      </w:r>
      <w:proofErr w:type="gramEnd"/>
    </w:p>
    <w:p w14:paraId="32B5FD71" w14:textId="77777777" w:rsidR="006A612C" w:rsidRDefault="006A612C" w:rsidP="006A612C">
      <w:r>
        <w:t xml:space="preserve">(e) ensure that the regulatory burden is commensurate with the risks and consistent </w:t>
      </w:r>
      <w:proofErr w:type="gramStart"/>
      <w:r>
        <w:t xml:space="preserve">with </w:t>
      </w:r>
      <w:r w:rsidR="006B1E4D">
        <w:t xml:space="preserve"> a</w:t>
      </w:r>
      <w:r>
        <w:t>chieving</w:t>
      </w:r>
      <w:proofErr w:type="gramEnd"/>
      <w:r>
        <w:t xml:space="preserve"> the objectives referred to in Recital A;</w:t>
      </w:r>
    </w:p>
    <w:p w14:paraId="0AC8AEE5" w14:textId="77777777" w:rsidR="006A612C" w:rsidRDefault="006A612C" w:rsidP="006A612C">
      <w:r>
        <w:t xml:space="preserve">(f) be characterised by decision-making that is transparent, and that incorporates extensive stakeholder and community </w:t>
      </w:r>
      <w:proofErr w:type="gramStart"/>
      <w:r>
        <w:t>involvement;</w:t>
      </w:r>
      <w:proofErr w:type="gramEnd"/>
    </w:p>
    <w:p w14:paraId="4FEA4EAC" w14:textId="77777777" w:rsidR="006A612C" w:rsidRDefault="006A612C" w:rsidP="006A612C">
      <w:r>
        <w:t>(g) be able to be amended to respond to the development of gene technologies and their uses; and</w:t>
      </w:r>
    </w:p>
    <w:p w14:paraId="6AD90143" w14:textId="77777777" w:rsidR="006A612C" w:rsidRDefault="006A612C" w:rsidP="006A612C">
      <w:r>
        <w:lastRenderedPageBreak/>
        <w:t>(h) be consistent with Australia’s relevant international treaty obligations.</w:t>
      </w:r>
    </w:p>
    <w:p w14:paraId="331E9F14" w14:textId="77777777" w:rsidR="006A612C" w:rsidRPr="006A612C" w:rsidRDefault="006A612C" w:rsidP="00574C02">
      <w:pPr>
        <w:pStyle w:val="Heading3"/>
      </w:pPr>
      <w:r w:rsidRPr="006A612C">
        <w:t>THE PARTIES AGREE AS FOLLOWS —</w:t>
      </w:r>
    </w:p>
    <w:p w14:paraId="2A2BA156" w14:textId="77777777" w:rsidR="006A612C" w:rsidRPr="006A612C" w:rsidRDefault="006A612C" w:rsidP="00574C02">
      <w:pPr>
        <w:pStyle w:val="Heading4"/>
      </w:pPr>
      <w:r w:rsidRPr="006A612C">
        <w:t>PART 1 — PRELIMINARY</w:t>
      </w:r>
    </w:p>
    <w:p w14:paraId="66D91C2F" w14:textId="77777777" w:rsidR="006A612C" w:rsidRPr="00696C37" w:rsidRDefault="006A612C" w:rsidP="00696C37">
      <w:r w:rsidRPr="00696C37">
        <w:t>1. This Agreement may be cited as the Gene Technology Agreement.</w:t>
      </w:r>
    </w:p>
    <w:p w14:paraId="321B1CE7" w14:textId="77777777" w:rsidR="006A612C" w:rsidRPr="00696C37" w:rsidRDefault="006A612C" w:rsidP="00696C37">
      <w:r w:rsidRPr="00696C37">
        <w:t>2. This Agreement commences upon execution by the Commonwealth and four other Parties (which shall include at least three States).</w:t>
      </w:r>
    </w:p>
    <w:p w14:paraId="55309DFD" w14:textId="77777777" w:rsidR="006A612C" w:rsidRPr="00696C37" w:rsidRDefault="006A612C" w:rsidP="00696C37">
      <w:r w:rsidRPr="00696C37">
        <w:t>3. The purpose of this Agreement is to facilitate a national gene technology regulation scheme.</w:t>
      </w:r>
    </w:p>
    <w:p w14:paraId="4529C51B" w14:textId="77777777" w:rsidR="006A612C" w:rsidRPr="00696C37" w:rsidRDefault="006A612C" w:rsidP="00696C37">
      <w:r w:rsidRPr="00696C37">
        <w:t>4. This Agreement is not intended to create any legal or justiciable obligation whatsoever upon any of the Parties, either as between them or as between a Party and any other person. All disputes arising between the Parties which relate to this Agreement or associated matters will be resolved in accordance with clause 41.</w:t>
      </w:r>
    </w:p>
    <w:p w14:paraId="6E7B809C" w14:textId="77777777" w:rsidR="006A612C" w:rsidRPr="00696C37" w:rsidRDefault="006A612C" w:rsidP="00696C37">
      <w:r w:rsidRPr="00696C37">
        <w:t xml:space="preserve">5. In this Agreement, unless the context otherwise requires </w:t>
      </w:r>
      <w:proofErr w:type="gramStart"/>
      <w:r w:rsidRPr="00696C37">
        <w:t>—‘</w:t>
      </w:r>
      <w:proofErr w:type="gramEnd"/>
      <w:r w:rsidRPr="00696C37">
        <w:t>Commonwealth Act’ means the Gene Technology Act 2000 of the Commonwealth; ‘Council’ means the Ministerial Council established by Clause 13 and defined by section 10 of the Commonwealth Act;</w:t>
      </w:r>
    </w:p>
    <w:p w14:paraId="1301DEC7" w14:textId="77777777" w:rsidR="006A612C" w:rsidRPr="00696C37" w:rsidRDefault="006A612C" w:rsidP="00696C37">
      <w:r w:rsidRPr="00696C37">
        <w:t xml:space="preserve">‘Legislation’ includes </w:t>
      </w:r>
      <w:proofErr w:type="gramStart"/>
      <w:r w:rsidRPr="00696C37">
        <w:t>regulations;</w:t>
      </w:r>
      <w:proofErr w:type="gramEnd"/>
    </w:p>
    <w:p w14:paraId="49CC46BE" w14:textId="77777777" w:rsidR="006A612C" w:rsidRPr="00696C37" w:rsidRDefault="006A612C" w:rsidP="00696C37">
      <w:r w:rsidRPr="00696C37">
        <w:t xml:space="preserve">‘Party’ means a signatory to this </w:t>
      </w:r>
      <w:proofErr w:type="gramStart"/>
      <w:r w:rsidRPr="00696C37">
        <w:t>Agreement;</w:t>
      </w:r>
      <w:proofErr w:type="gramEnd"/>
    </w:p>
    <w:p w14:paraId="3CC2C7AE" w14:textId="77777777" w:rsidR="006A612C" w:rsidRPr="00696C37" w:rsidRDefault="006A612C" w:rsidP="00696C37">
      <w:r w:rsidRPr="00696C37">
        <w:t xml:space="preserve">‘Special majority’ means at least two-thirds of the </w:t>
      </w:r>
      <w:proofErr w:type="gramStart"/>
      <w:r w:rsidRPr="00696C37">
        <w:t>Parties;</w:t>
      </w:r>
      <w:proofErr w:type="gramEnd"/>
    </w:p>
    <w:p w14:paraId="17734431" w14:textId="77777777" w:rsidR="006A612C" w:rsidRPr="00696C37" w:rsidRDefault="006A612C" w:rsidP="00696C37">
      <w:r w:rsidRPr="00696C37">
        <w:t xml:space="preserve">‘Scheme’ means the totality of the legislation enacted and to be enacted by the Parties under this </w:t>
      </w:r>
      <w:proofErr w:type="gramStart"/>
      <w:r w:rsidRPr="00696C37">
        <w:t>Agreement;</w:t>
      </w:r>
      <w:proofErr w:type="gramEnd"/>
    </w:p>
    <w:p w14:paraId="3C0BC772" w14:textId="77777777" w:rsidR="006A612C" w:rsidRPr="00696C37" w:rsidRDefault="006A612C" w:rsidP="00696C37">
      <w:r w:rsidRPr="00696C37">
        <w:t xml:space="preserve">‘State’ does not include the Australian Capital Territory and the Northern Territory of </w:t>
      </w:r>
      <w:proofErr w:type="gramStart"/>
      <w:r w:rsidRPr="00696C37">
        <w:t>Australia;</w:t>
      </w:r>
      <w:proofErr w:type="gramEnd"/>
    </w:p>
    <w:p w14:paraId="2AEF2A5F" w14:textId="77777777" w:rsidR="006A612C" w:rsidRPr="00696C37" w:rsidRDefault="006A612C" w:rsidP="00696C37">
      <w:r w:rsidRPr="00696C37">
        <w:t xml:space="preserve">‘State or Territory Bill’ means a State or Territory Bill referred to in Clause 9 and ‘State or Territory Act’ has a corresponding </w:t>
      </w:r>
      <w:proofErr w:type="gramStart"/>
      <w:r w:rsidRPr="00696C37">
        <w:t>meaning;</w:t>
      </w:r>
      <w:proofErr w:type="gramEnd"/>
    </w:p>
    <w:p w14:paraId="34393CB4" w14:textId="77777777" w:rsidR="006A612C" w:rsidRPr="00696C37" w:rsidRDefault="006A612C" w:rsidP="00696C37">
      <w:r w:rsidRPr="00696C37">
        <w:t>‘wind-back provision’ means section 14 of the Commonwealth Act; and terms defined in the Commonwealth Act have the same meaning when used in this Agreement.</w:t>
      </w:r>
    </w:p>
    <w:p w14:paraId="66BCBBE2" w14:textId="77777777" w:rsidR="006A612C" w:rsidRPr="00E70AE3" w:rsidRDefault="006A612C" w:rsidP="00696C37">
      <w:pPr>
        <w:pStyle w:val="Heading4"/>
      </w:pPr>
      <w:r w:rsidRPr="00E70AE3">
        <w:t>PART 2 — NATIONAL GENE TECHNOLOGY LEGISLATION</w:t>
      </w:r>
    </w:p>
    <w:p w14:paraId="701B3703" w14:textId="77777777" w:rsidR="006A612C" w:rsidRPr="00696C37" w:rsidRDefault="006A612C" w:rsidP="00696C37">
      <w:r w:rsidRPr="00696C37">
        <w:t>6. Unless the Council otherwise determines in accordance with Part 5 of this agreement, the Commonwealth will use its best endeavours to ensure that the Commonwealth Act, among other things, continues:</w:t>
      </w:r>
    </w:p>
    <w:p w14:paraId="5F1A67FF" w14:textId="77777777" w:rsidR="006A612C" w:rsidRPr="00696C37" w:rsidRDefault="006A612C" w:rsidP="00696C37">
      <w:r w:rsidRPr="00696C37">
        <w:t>(a) to provide for a Gene Technology Regulator (the Regulator) to oversee and manage the assessment of risks to the health and safety of people and the environment associated with dealings with genetically modified organisms (GMOs).</w:t>
      </w:r>
    </w:p>
    <w:p w14:paraId="13148FDC" w14:textId="77777777" w:rsidR="006A612C" w:rsidRPr="00696C37" w:rsidRDefault="006A612C" w:rsidP="00696C37">
      <w:r w:rsidRPr="00696C37">
        <w:t>The Regulator is:</w:t>
      </w:r>
    </w:p>
    <w:p w14:paraId="16DFA5D1" w14:textId="77777777" w:rsidR="006A612C" w:rsidRPr="00696C37" w:rsidRDefault="006A612C" w:rsidP="00696C37">
      <w:r w:rsidRPr="00696C37">
        <w:t>(</w:t>
      </w:r>
      <w:proofErr w:type="spellStart"/>
      <w:r w:rsidRPr="00696C37">
        <w:t>i</w:t>
      </w:r>
      <w:proofErr w:type="spellEnd"/>
      <w:r w:rsidRPr="00696C37">
        <w:t>) to be appointed and dismissed only with the approval of a majority of the</w:t>
      </w:r>
      <w:r w:rsidR="004F5C1E" w:rsidRPr="00696C37">
        <w:t xml:space="preserve"> </w:t>
      </w:r>
      <w:r w:rsidRPr="00696C37">
        <w:t>jurisdictions (except where the Commonwealth Act provides that dismissal by</w:t>
      </w:r>
      <w:r w:rsidR="004F5C1E" w:rsidRPr="00696C37">
        <w:t xml:space="preserve"> </w:t>
      </w:r>
      <w:r w:rsidRPr="00696C37">
        <w:t>the Governor-General is mandatory</w:t>
      </w:r>
      <w:proofErr w:type="gramStart"/>
      <w:r w:rsidRPr="00696C37">
        <w:t>);</w:t>
      </w:r>
      <w:proofErr w:type="gramEnd"/>
    </w:p>
    <w:p w14:paraId="1CE913ED" w14:textId="77777777" w:rsidR="006A612C" w:rsidRPr="00696C37" w:rsidRDefault="006A612C" w:rsidP="00696C37">
      <w:r w:rsidRPr="00696C37">
        <w:t>(ii) not to be subject to direction in performing functions and exercising powers</w:t>
      </w:r>
      <w:r w:rsidR="004F5C1E" w:rsidRPr="00696C37">
        <w:t xml:space="preserve"> </w:t>
      </w:r>
      <w:r w:rsidRPr="00696C37">
        <w:t>under the Scheme, but will be bound to act in accordance with policy</w:t>
      </w:r>
      <w:r w:rsidR="004F5C1E" w:rsidRPr="00696C37">
        <w:t xml:space="preserve"> </w:t>
      </w:r>
      <w:r w:rsidRPr="00696C37">
        <w:t>principles issued by the Council, and is to have regard to policy guidelines</w:t>
      </w:r>
      <w:r w:rsidR="004F5C1E" w:rsidRPr="00696C37">
        <w:t xml:space="preserve"> </w:t>
      </w:r>
      <w:r w:rsidRPr="00696C37">
        <w:t>issued by the Council; and</w:t>
      </w:r>
    </w:p>
    <w:p w14:paraId="34AE2C23" w14:textId="77777777" w:rsidR="006A612C" w:rsidRPr="00696C37" w:rsidRDefault="006A612C" w:rsidP="00696C37">
      <w:r w:rsidRPr="00696C37">
        <w:lastRenderedPageBreak/>
        <w:t>(iii) at the request of the Council, to develop draft policy principles, policy guidelines</w:t>
      </w:r>
      <w:r w:rsidR="004F5C1E" w:rsidRPr="00696C37">
        <w:t xml:space="preserve"> </w:t>
      </w:r>
      <w:r w:rsidRPr="00696C37">
        <w:t>and</w:t>
      </w:r>
      <w:r w:rsidR="006B1E4D" w:rsidRPr="00696C37">
        <w:t xml:space="preserve"> </w:t>
      </w:r>
      <w:r w:rsidRPr="00696C37">
        <w:t xml:space="preserve">codes of practice, and provide information and advice to the </w:t>
      </w:r>
      <w:proofErr w:type="gramStart"/>
      <w:r w:rsidRPr="00696C37">
        <w:t>Council;</w:t>
      </w:r>
      <w:proofErr w:type="gramEnd"/>
    </w:p>
    <w:p w14:paraId="18E007AB" w14:textId="77777777" w:rsidR="006A612C" w:rsidRPr="00696C37" w:rsidRDefault="006A612C" w:rsidP="00696C37">
      <w:r w:rsidRPr="00696C37">
        <w:t>(b) to prohibit persons from dealing with a GMO unless the dealing is exempt, is</w:t>
      </w:r>
      <w:r w:rsidR="004F5C1E" w:rsidRPr="00696C37">
        <w:t xml:space="preserve"> a notifi</w:t>
      </w:r>
      <w:r w:rsidRPr="00696C37">
        <w:t>able low risk dealing, is included on the GMO Register or is licensed by</w:t>
      </w:r>
      <w:r w:rsidR="004F5C1E" w:rsidRPr="00696C37">
        <w:t xml:space="preserve"> </w:t>
      </w:r>
      <w:r w:rsidRPr="00696C37">
        <w:t xml:space="preserve">the </w:t>
      </w:r>
      <w:proofErr w:type="gramStart"/>
      <w:r w:rsidRPr="00696C37">
        <w:t>Regulator;</w:t>
      </w:r>
      <w:proofErr w:type="gramEnd"/>
    </w:p>
    <w:p w14:paraId="6592F380" w14:textId="77777777" w:rsidR="006B1E4D" w:rsidRPr="00696C37" w:rsidRDefault="006B1E4D" w:rsidP="00696C37">
      <w:r w:rsidRPr="00696C37">
        <w:t xml:space="preserve">(c) to provide for a risk assessment process that requires the Regulator to seek advice from the States and Territories on an application for a licence to authorise the intentional release into the environment of a GMO, both on matters relevant to the preparation of the risk assessment and risk management plan, and on that assessment and plan following their </w:t>
      </w:r>
      <w:proofErr w:type="gramStart"/>
      <w:r w:rsidRPr="00696C37">
        <w:t>preparation;</w:t>
      </w:r>
      <w:proofErr w:type="gramEnd"/>
    </w:p>
    <w:p w14:paraId="5194612C" w14:textId="77777777" w:rsidR="006B1E4D" w:rsidRPr="00696C37" w:rsidRDefault="006B1E4D" w:rsidP="00696C37">
      <w:r w:rsidRPr="00696C37">
        <w:t>(d) to provide for the Council to issue:</w:t>
      </w:r>
    </w:p>
    <w:p w14:paraId="4460AF7F" w14:textId="77777777" w:rsidR="006B1E4D" w:rsidRPr="00696C37" w:rsidRDefault="006B1E4D" w:rsidP="00696C37">
      <w:r w:rsidRPr="00696C37">
        <w:t>(</w:t>
      </w:r>
      <w:proofErr w:type="spellStart"/>
      <w:r w:rsidRPr="00696C37">
        <w:t>i</w:t>
      </w:r>
      <w:proofErr w:type="spellEnd"/>
      <w:r w:rsidRPr="00696C37">
        <w:t>) policy principles in relation to ethical issues, recognising areas (if any) designated under State law for the purpose of preserving the identity of GM crops or non-GM crops for marketing purposes, and other matters prescribed by regulation (which may relate to matters other than human health and safety or the environment</w:t>
      </w:r>
      <w:proofErr w:type="gramStart"/>
      <w:r w:rsidRPr="00696C37">
        <w:t>);</w:t>
      </w:r>
      <w:proofErr w:type="gramEnd"/>
    </w:p>
    <w:p w14:paraId="4C398529" w14:textId="77777777" w:rsidR="006B1E4D" w:rsidRPr="00696C37" w:rsidRDefault="006B1E4D" w:rsidP="00696C37">
      <w:r w:rsidRPr="00696C37">
        <w:t>(ii) policy guidelines in relation to matters relevant to the functions of the Regulator; and</w:t>
      </w:r>
    </w:p>
    <w:p w14:paraId="55B6508F" w14:textId="77777777" w:rsidR="006B1E4D" w:rsidRPr="00696C37" w:rsidRDefault="006B1E4D" w:rsidP="00696C37">
      <w:r w:rsidRPr="00696C37">
        <w:t xml:space="preserve">(iii) codes of practice in relation to gene technology which may be applied by the Regulator as conditions of a </w:t>
      </w:r>
      <w:proofErr w:type="gramStart"/>
      <w:r w:rsidRPr="00696C37">
        <w:t>licence;</w:t>
      </w:r>
      <w:proofErr w:type="gramEnd"/>
    </w:p>
    <w:p w14:paraId="4E3D4F8C" w14:textId="77777777" w:rsidR="006B1E4D" w:rsidRPr="00696C37" w:rsidRDefault="006B1E4D" w:rsidP="00696C37">
      <w:r w:rsidRPr="00696C37">
        <w:t xml:space="preserve">(e) to provide for a Gene Technology Technical Advisory Committee, the chairperson of which is appointed only with the approval of </w:t>
      </w:r>
      <w:proofErr w:type="gramStart"/>
      <w:r w:rsidRPr="00696C37">
        <w:t>a majority of</w:t>
      </w:r>
      <w:proofErr w:type="gramEnd"/>
      <w:r w:rsidRPr="00696C37">
        <w:t xml:space="preserve"> jurisdictions. The members of the Committee are to be appointed </w:t>
      </w:r>
      <w:proofErr w:type="gramStart"/>
      <w:r w:rsidRPr="00696C37">
        <w:t>on the basis of</w:t>
      </w:r>
      <w:proofErr w:type="gramEnd"/>
      <w:r w:rsidRPr="00696C37">
        <w:t xml:space="preserve"> their skills or experience in one or more scientific disciplines. The Committee is to provide scientific and technical advice, at the request of the Regulator or the Council, </w:t>
      </w:r>
      <w:proofErr w:type="gramStart"/>
      <w:r w:rsidRPr="00696C37">
        <w:t>on:</w:t>
      </w:r>
      <w:proofErr w:type="gramEnd"/>
      <w:r w:rsidRPr="00696C37">
        <w:t xml:space="preserve"> gene technology, GMOs and GM products; applications made under the Scheme; biosafety aspects of gene technology; and the need for and content of policy principles, policy guidelines, codes of practice, and technical and procedural guidelines;</w:t>
      </w:r>
    </w:p>
    <w:p w14:paraId="21218048" w14:textId="77777777" w:rsidR="006B1E4D" w:rsidRPr="00696C37" w:rsidRDefault="006B1E4D" w:rsidP="00696C37">
      <w:r w:rsidRPr="00696C37">
        <w:t xml:space="preserve">(f) to provide for a Gene Technology Community Consultative Committee, the chairperson of which is appointed only with the approval of </w:t>
      </w:r>
      <w:proofErr w:type="gramStart"/>
      <w:r w:rsidRPr="00696C37">
        <w:t>a majority of</w:t>
      </w:r>
      <w:proofErr w:type="gramEnd"/>
      <w:r w:rsidRPr="00696C37">
        <w:t xml:space="preserve"> jurisdictions. The members of the Committee are to be appointed </w:t>
      </w:r>
      <w:proofErr w:type="gramStart"/>
      <w:r w:rsidRPr="00696C37">
        <w:t>on the basis of</w:t>
      </w:r>
      <w:proofErr w:type="gramEnd"/>
      <w:r w:rsidRPr="00696C37">
        <w:t xml:space="preserve"> skills or experience of relevance to gene technology. The Committee is to provide advice, at the request of the Regulator or the Council, </w:t>
      </w:r>
      <w:proofErr w:type="gramStart"/>
      <w:r w:rsidRPr="00696C37">
        <w:t>on:</w:t>
      </w:r>
      <w:proofErr w:type="gramEnd"/>
      <w:r w:rsidRPr="00696C37">
        <w:t xml:space="preserve"> matters of general concern in relation to GMOs; or the need for and content of policy principles, policy guidelines, codes of practice, and technical and procedural guidelines; </w:t>
      </w:r>
    </w:p>
    <w:p w14:paraId="1D431C81" w14:textId="77777777" w:rsidR="006B1E4D" w:rsidRPr="00696C37" w:rsidRDefault="006B1E4D" w:rsidP="00696C37">
      <w:r w:rsidRPr="00696C37">
        <w:t xml:space="preserve">(g) to provide for a Gene Technology Ethics Committee, the chairperson of which is appointed only with the approval of </w:t>
      </w:r>
      <w:proofErr w:type="gramStart"/>
      <w:r w:rsidRPr="00696C37">
        <w:t>a majority of</w:t>
      </w:r>
      <w:proofErr w:type="gramEnd"/>
      <w:r w:rsidRPr="00696C37">
        <w:t xml:space="preserve"> jurisdictions. The members of the Committee are to be appointed </w:t>
      </w:r>
      <w:proofErr w:type="gramStart"/>
      <w:r w:rsidRPr="00696C37">
        <w:t>on the basis of</w:t>
      </w:r>
      <w:proofErr w:type="gramEnd"/>
      <w:r w:rsidRPr="00696C37">
        <w:t xml:space="preserve"> their skills or experience in ethical issues or certain other fields relevant to ethical issues posed by gene technology. The Committee is to provide advice, at the request of the Regulator or the Council, </w:t>
      </w:r>
      <w:proofErr w:type="gramStart"/>
      <w:r w:rsidRPr="00696C37">
        <w:t>on:</w:t>
      </w:r>
      <w:proofErr w:type="gramEnd"/>
      <w:r w:rsidRPr="00696C37">
        <w:t xml:space="preserve"> ethical issues relating to gene technology; the need for and content of codes of practice in relation to ethics in respect of the conduct of dealings with GMOs; and the need for and content of policy principles in relation to dealings with GMOs that should not be conducted for ethical reasons;</w:t>
      </w:r>
    </w:p>
    <w:p w14:paraId="32A94C3E" w14:textId="77777777" w:rsidR="006B1E4D" w:rsidRPr="00696C37" w:rsidRDefault="006B1E4D" w:rsidP="00696C37">
      <w:r w:rsidRPr="00696C37">
        <w:t xml:space="preserve">(h) to provide that when a State or Territory Act is declared by the responsible Commonwealth Minister to be a corresponding State law and that State or Territory gives a </w:t>
      </w:r>
      <w:r w:rsidRPr="00696C37">
        <w:lastRenderedPageBreak/>
        <w:t>wind-back notice to the responsible Commonwealth Minister, the application of the Commonwealth Act in that State or Territory is limited so that it does not apply:</w:t>
      </w:r>
    </w:p>
    <w:p w14:paraId="23DEB606" w14:textId="77777777" w:rsidR="006B1E4D" w:rsidRPr="00696C37" w:rsidRDefault="006B1E4D" w:rsidP="00696C37">
      <w:r w:rsidRPr="00696C37">
        <w:t>(</w:t>
      </w:r>
      <w:proofErr w:type="spellStart"/>
      <w:r w:rsidRPr="00696C37">
        <w:t>i</w:t>
      </w:r>
      <w:proofErr w:type="spellEnd"/>
      <w:r w:rsidRPr="00696C37">
        <w:t>) to a dealing that would otherwise have been regulated by the Commonwealth Act only because of section 51(ix) of the Constitution (the quarantine power); or</w:t>
      </w:r>
    </w:p>
    <w:p w14:paraId="31F9D34E" w14:textId="77777777" w:rsidR="006B1E4D" w:rsidRPr="00696C37" w:rsidRDefault="006B1E4D" w:rsidP="00696C37">
      <w:r w:rsidRPr="00696C37">
        <w:t xml:space="preserve">(ii) to a dealing with a GMO undertaken by a higher education institution or a State or Territory agency (including a State or Territory instrumentality or a company controlled by a State or Territory), or by a person authorised to undertake the dealing by a licence held under a State or Territory Act by a higher education institution or a State or Territory agency; such dealings are to be regulated by the corresponding State </w:t>
      </w:r>
      <w:proofErr w:type="gramStart"/>
      <w:r w:rsidRPr="00696C37">
        <w:t>law;</w:t>
      </w:r>
      <w:proofErr w:type="gramEnd"/>
    </w:p>
    <w:p w14:paraId="582C29FB" w14:textId="77777777" w:rsidR="006B1E4D" w:rsidRPr="00696C37" w:rsidRDefault="006B1E4D" w:rsidP="00696C37">
      <w:r w:rsidRPr="00696C37">
        <w:t>(</w:t>
      </w:r>
      <w:proofErr w:type="spellStart"/>
      <w:r w:rsidRPr="00696C37">
        <w:t>i</w:t>
      </w:r>
      <w:proofErr w:type="spellEnd"/>
      <w:r w:rsidRPr="00696C37">
        <w:t>) not to preclude any State or Territory law that is capable of operating concurrently with the Commonwealth Act from operating according to its terms (other than a law not forming part of the Scheme which regulates dealings with GMOs by reference to their character as such and which is prescribed under the Commonwealth Act</w:t>
      </w:r>
      <w:proofErr w:type="gramStart"/>
      <w:r w:rsidRPr="00696C37">
        <w:t>);</w:t>
      </w:r>
      <w:proofErr w:type="gramEnd"/>
    </w:p>
    <w:p w14:paraId="31536970" w14:textId="77777777" w:rsidR="006B1E4D" w:rsidRPr="00696C37" w:rsidRDefault="006B1E4D" w:rsidP="00696C37">
      <w:r w:rsidRPr="00696C37">
        <w:t>(j) to allow the relevant agency of each State and Territory access to all information (including confidential commercial information) provided to the Regulator by a person who intends to deal with a GMO in connection with an application or notification under the Scheme, for the purpose of the States and Territories performing duties or functions under the Scheme; and</w:t>
      </w:r>
    </w:p>
    <w:p w14:paraId="6800ACB3" w14:textId="77777777" w:rsidR="006B1E4D" w:rsidRPr="00696C37" w:rsidRDefault="006B1E4D" w:rsidP="00696C37">
      <w:r w:rsidRPr="00696C37">
        <w:t>(k) to provide for the Regulator to maintain a publicly available record of all dealings in Australia that involve GMOs or GM products, including particulars of the dealings (other than confidential commercial information).</w:t>
      </w:r>
    </w:p>
    <w:p w14:paraId="7CEE4603" w14:textId="77777777" w:rsidR="006B1E4D" w:rsidRPr="00696C37" w:rsidRDefault="006B1E4D" w:rsidP="00696C37">
      <w:r w:rsidRPr="00696C37">
        <w:t xml:space="preserve">7. The Commonwealth will also use its best endeavours to ensure that the Gene Technology (Consequential Amendments) Act 2000 continues to require that existing regulators of GM products (including those established by the existing schemes for the regulation of food, therapeutic goods, agricultural and veterinary </w:t>
      </w:r>
      <w:proofErr w:type="gramStart"/>
      <w:r w:rsidRPr="00696C37">
        <w:t>chemicals</w:t>
      </w:r>
      <w:proofErr w:type="gramEnd"/>
      <w:r w:rsidRPr="00696C37">
        <w:t xml:space="preserve"> and industrial chemicals):</w:t>
      </w:r>
    </w:p>
    <w:p w14:paraId="5C00CC03" w14:textId="77777777" w:rsidR="006B1E4D" w:rsidRPr="00696C37" w:rsidRDefault="006B1E4D" w:rsidP="00696C37">
      <w:r w:rsidRPr="00696C37">
        <w:t xml:space="preserve">(a) seek advice from the Regulator in relation to any application for approval of a GM </w:t>
      </w:r>
      <w:proofErr w:type="gramStart"/>
      <w:r w:rsidRPr="00696C37">
        <w:t>product;</w:t>
      </w:r>
      <w:proofErr w:type="gramEnd"/>
    </w:p>
    <w:p w14:paraId="259F70B9" w14:textId="77777777" w:rsidR="006B1E4D" w:rsidRPr="00696C37" w:rsidRDefault="006B1E4D" w:rsidP="00696C37">
      <w:r w:rsidRPr="00696C37">
        <w:t xml:space="preserve">(b) take such advice into account in </w:t>
      </w:r>
      <w:proofErr w:type="gramStart"/>
      <w:r w:rsidRPr="00696C37">
        <w:t>making a decision</w:t>
      </w:r>
      <w:proofErr w:type="gramEnd"/>
      <w:r w:rsidRPr="00696C37">
        <w:t xml:space="preserve"> under the relevant scheme; and</w:t>
      </w:r>
    </w:p>
    <w:p w14:paraId="70B436AE" w14:textId="77777777" w:rsidR="006B1E4D" w:rsidRPr="00696C37" w:rsidRDefault="006B1E4D" w:rsidP="00696C37">
      <w:r w:rsidRPr="00696C37">
        <w:t>(c) notify the Regulator of all decisions made in relation to GM products to enable those decisions to be entered on a central, publicly available database of all GMOs and GM products, maintained by the Regulator.</w:t>
      </w:r>
    </w:p>
    <w:p w14:paraId="4CA2AA5F" w14:textId="77777777" w:rsidR="006B1E4D" w:rsidRPr="00696C37" w:rsidRDefault="006B1E4D" w:rsidP="00696C37">
      <w:r w:rsidRPr="00696C37">
        <w:t>8. The relevant responsible Commonwealth Minister will recommend to the Governor-General the making of regulations:</w:t>
      </w:r>
    </w:p>
    <w:p w14:paraId="176ECD6A" w14:textId="77777777" w:rsidR="006B1E4D" w:rsidRPr="00696C37" w:rsidRDefault="006B1E4D" w:rsidP="00696C37">
      <w:r w:rsidRPr="00696C37">
        <w:t xml:space="preserve">(a) under the Commonwealth Act, to provide (among other things) that the chairperson of each of the Gene Technology Technical Advisory Committee, the Gene Technology Community Consultative Committee and the Gene Technology Ethics Committee will be dismissed only with the approval of </w:t>
      </w:r>
      <w:proofErr w:type="gramStart"/>
      <w:r w:rsidRPr="00696C37">
        <w:t>a majority of</w:t>
      </w:r>
      <w:proofErr w:type="gramEnd"/>
      <w:r w:rsidRPr="00696C37">
        <w:t xml:space="preserve"> jurisdictions (except where the regulations provide that dismissal by the Minister is mandatory); and</w:t>
      </w:r>
    </w:p>
    <w:p w14:paraId="10CB1940" w14:textId="77777777" w:rsidR="006B1E4D" w:rsidRPr="00696C37" w:rsidRDefault="006B1E4D" w:rsidP="00696C37">
      <w:r w:rsidRPr="00696C37">
        <w:t>(b) under the Trans-Tasman Mutual Recognition Act 1997 (Commonwealth), to exclude from that Act the laws forming part of the Scheme; and will maintain those regulations unless the Council otherwise determines in accordance with Part 5 of the agreement.</w:t>
      </w:r>
    </w:p>
    <w:p w14:paraId="5A947980" w14:textId="77777777" w:rsidR="006B1E4D" w:rsidRPr="00696C37" w:rsidRDefault="006B1E4D" w:rsidP="00696C37">
      <w:r w:rsidRPr="00696C37">
        <w:lastRenderedPageBreak/>
        <w:t xml:space="preserve">9. Each State and Territory will submit to its Parliament as soon as possible a Bill or Bills to form part of the Scheme, for the purpose of ensuring that the Scheme applies consistently to all persons, </w:t>
      </w:r>
      <w:proofErr w:type="gramStart"/>
      <w:r w:rsidRPr="00696C37">
        <w:t>things</w:t>
      </w:r>
      <w:proofErr w:type="gramEnd"/>
      <w:r w:rsidRPr="00696C37">
        <w:t xml:space="preserve"> and activities within Australia. Each State and Territory will use its best endeavours to secure the passage of the Bill or Bills submitted to its Parliament, as introduced, and commencement of the Act(s) by 31 December 2001.</w:t>
      </w:r>
    </w:p>
    <w:p w14:paraId="0D0607C2" w14:textId="77777777" w:rsidR="006B1E4D" w:rsidRPr="00696C37" w:rsidRDefault="006B1E4D" w:rsidP="00696C37">
      <w:r w:rsidRPr="00696C37">
        <w:t>10. The Bill or Bills referred to in clause 9 will, among other things:</w:t>
      </w:r>
    </w:p>
    <w:p w14:paraId="3B64524D" w14:textId="77777777" w:rsidR="006B1E4D" w:rsidRPr="00696C37" w:rsidRDefault="006B1E4D" w:rsidP="00696C37">
      <w:r w:rsidRPr="00696C37">
        <w:t xml:space="preserve">(a) confer functions and powers on the Regulator, the Gene Technology Technical Advisory Committee, the Gene Technology Community Consultative Committee and the Gene Technology Ethics Committee in the same terms as those in the Commonwealth </w:t>
      </w:r>
      <w:proofErr w:type="gramStart"/>
      <w:r w:rsidRPr="00696C37">
        <w:t>Act;</w:t>
      </w:r>
      <w:proofErr w:type="gramEnd"/>
    </w:p>
    <w:p w14:paraId="12B62FFD" w14:textId="77777777" w:rsidR="006B1E4D" w:rsidRPr="00696C37" w:rsidRDefault="006B1E4D" w:rsidP="00696C37">
      <w:r w:rsidRPr="00696C37">
        <w:t xml:space="preserve">(b) prohibit persons from dealing with a GMO unless the dealing is exempt, is a notifiable low risk dealing, is included on the GMO Register, or is licensed by the </w:t>
      </w:r>
      <w:proofErr w:type="gramStart"/>
      <w:r w:rsidRPr="00696C37">
        <w:t>Regulator;</w:t>
      </w:r>
      <w:proofErr w:type="gramEnd"/>
    </w:p>
    <w:p w14:paraId="725BB27B" w14:textId="77777777" w:rsidR="006B1E4D" w:rsidRPr="00696C37" w:rsidRDefault="006B1E4D" w:rsidP="00696C37">
      <w:r w:rsidRPr="00696C37">
        <w:t xml:space="preserve">(c) provide for a risk assessment process that requires the Regulator to seek advice from the States and Territories on an application for a licence to authorise the intentional release into the environment of a GMO, both on matters relevant to the preparation of the risk assessment and risk management plan, and on that assessment and plan following their </w:t>
      </w:r>
      <w:proofErr w:type="gramStart"/>
      <w:r w:rsidRPr="00696C37">
        <w:t>preparation;</w:t>
      </w:r>
      <w:proofErr w:type="gramEnd"/>
    </w:p>
    <w:p w14:paraId="42DB1404" w14:textId="77777777" w:rsidR="006B1E4D" w:rsidRPr="00696C37" w:rsidRDefault="006B1E4D" w:rsidP="00696C37">
      <w:r w:rsidRPr="00696C37">
        <w:t>(d) provide for the Council to issue:</w:t>
      </w:r>
    </w:p>
    <w:p w14:paraId="699BB6B1" w14:textId="77777777" w:rsidR="006B1E4D" w:rsidRPr="00696C37" w:rsidRDefault="006B1E4D" w:rsidP="00696C37">
      <w:r w:rsidRPr="00696C37">
        <w:t>(</w:t>
      </w:r>
      <w:proofErr w:type="spellStart"/>
      <w:r w:rsidRPr="00696C37">
        <w:t>i</w:t>
      </w:r>
      <w:proofErr w:type="spellEnd"/>
      <w:r w:rsidRPr="00696C37">
        <w:t xml:space="preserve">) policy </w:t>
      </w:r>
      <w:proofErr w:type="gramStart"/>
      <w:r w:rsidRPr="00696C37">
        <w:t>principles;</w:t>
      </w:r>
      <w:proofErr w:type="gramEnd"/>
    </w:p>
    <w:p w14:paraId="15BC8AF5" w14:textId="77777777" w:rsidR="006B1E4D" w:rsidRPr="00696C37" w:rsidRDefault="006B1E4D" w:rsidP="00696C37">
      <w:r w:rsidRPr="00696C37">
        <w:t>(ii) policy guidelines; and</w:t>
      </w:r>
    </w:p>
    <w:p w14:paraId="7D2B86A2" w14:textId="77777777" w:rsidR="006B1E4D" w:rsidRPr="00696C37" w:rsidRDefault="006B1E4D" w:rsidP="00696C37">
      <w:r w:rsidRPr="00696C37">
        <w:t xml:space="preserve">(iii) codes of </w:t>
      </w:r>
      <w:proofErr w:type="gramStart"/>
      <w:r w:rsidRPr="00696C37">
        <w:t>practice;</w:t>
      </w:r>
      <w:proofErr w:type="gramEnd"/>
      <w:r w:rsidRPr="00696C37">
        <w:t xml:space="preserve"> as defined in the Commonwealth Act;</w:t>
      </w:r>
    </w:p>
    <w:p w14:paraId="09D8E672" w14:textId="77777777" w:rsidR="006B1E4D" w:rsidRPr="00696C37" w:rsidRDefault="006B1E4D" w:rsidP="00696C37">
      <w:r w:rsidRPr="00696C37">
        <w:t>(e) bind the Crown in right of the State or Territory (as the case requires</w:t>
      </w:r>
      <w:proofErr w:type="gramStart"/>
      <w:r w:rsidRPr="00696C37">
        <w:t>);</w:t>
      </w:r>
      <w:proofErr w:type="gramEnd"/>
    </w:p>
    <w:p w14:paraId="610D64FA" w14:textId="77777777" w:rsidR="006B1E4D" w:rsidRPr="00696C37" w:rsidRDefault="006B1E4D" w:rsidP="00696C37">
      <w:r w:rsidRPr="00696C37">
        <w:t>(f) provide for information referred to in Clause 6(j) which is confidential commerci</w:t>
      </w:r>
      <w:r w:rsidR="00480C97" w:rsidRPr="00696C37">
        <w:t>al information to be kept confi</w:t>
      </w:r>
      <w:r w:rsidRPr="00696C37">
        <w:t>dential (except as authorised or required</w:t>
      </w:r>
      <w:r w:rsidR="00480C97" w:rsidRPr="00696C37">
        <w:t xml:space="preserve"> </w:t>
      </w:r>
      <w:r w:rsidRPr="00696C37">
        <w:t>by law), and for a criminal penalty for any agent of the State or Territory who</w:t>
      </w:r>
      <w:r w:rsidR="00480C97" w:rsidRPr="00696C37">
        <w:t xml:space="preserve"> </w:t>
      </w:r>
      <w:r w:rsidRPr="00696C37">
        <w:t>breaches that obligation; and</w:t>
      </w:r>
    </w:p>
    <w:p w14:paraId="59E7A22F" w14:textId="77777777" w:rsidR="006B1E4D" w:rsidRPr="00696C37" w:rsidRDefault="006B1E4D" w:rsidP="00696C37">
      <w:r w:rsidRPr="00696C37">
        <w:t>(g) appropriate for payment to the Commonwealth amounts equal to the amounts</w:t>
      </w:r>
      <w:r w:rsidR="00480C97" w:rsidRPr="00696C37">
        <w:t xml:space="preserve"> </w:t>
      </w:r>
      <w:r w:rsidRPr="00696C37">
        <w:t>received or recovered by a State or Territory under a State or Territory Bill.</w:t>
      </w:r>
    </w:p>
    <w:p w14:paraId="2645DD56" w14:textId="77777777" w:rsidR="006B1E4D" w:rsidRPr="00696C37" w:rsidRDefault="006B1E4D" w:rsidP="00696C37">
      <w:r w:rsidRPr="00696C37">
        <w:t>11. Each State and Territory will use its best endeavours to ensure that its law(s)</w:t>
      </w:r>
      <w:r w:rsidR="00480C97" w:rsidRPr="00696C37">
        <w:t xml:space="preserve"> </w:t>
      </w:r>
      <w:r w:rsidRPr="00696C37">
        <w:t>forming part of the Scheme continues to provide for the matters described in</w:t>
      </w:r>
      <w:r w:rsidR="00480C97" w:rsidRPr="00696C37">
        <w:t xml:space="preserve"> </w:t>
      </w:r>
      <w:r w:rsidRPr="00696C37">
        <w:t>clause 10.</w:t>
      </w:r>
    </w:p>
    <w:p w14:paraId="6148F42C" w14:textId="77777777" w:rsidR="006B1E4D" w:rsidRPr="00696C37" w:rsidRDefault="006B1E4D" w:rsidP="00696C37">
      <w:r w:rsidRPr="00696C37">
        <w:t>12. A State or Territory which wishes the wind-back provision to operate in relation</w:t>
      </w:r>
      <w:r w:rsidR="00480C97" w:rsidRPr="00696C37">
        <w:t xml:space="preserve"> </w:t>
      </w:r>
      <w:r w:rsidRPr="00696C37">
        <w:t>to it will give to the responsible Commonwealth Minister as soon as practicable</w:t>
      </w:r>
      <w:r w:rsidR="00480C97" w:rsidRPr="00696C37">
        <w:t xml:space="preserve"> </w:t>
      </w:r>
      <w:r w:rsidRPr="00696C37">
        <w:t>after the enactment of the State or Territory Act(s), a written wind-back notice.</w:t>
      </w:r>
    </w:p>
    <w:p w14:paraId="46CC2436" w14:textId="77777777" w:rsidR="00480C97" w:rsidRPr="00480C97" w:rsidRDefault="00480C97" w:rsidP="00696C37">
      <w:pPr>
        <w:pStyle w:val="Heading4"/>
      </w:pPr>
      <w:r w:rsidRPr="00480C97">
        <w:t>PART 3 — THE GENE TECHNOLOGY MINISTERIAL COUNCIL</w:t>
      </w:r>
    </w:p>
    <w:p w14:paraId="346AE18D" w14:textId="24AA839A" w:rsidR="00480C97" w:rsidRPr="000E175D" w:rsidRDefault="00480C97" w:rsidP="000E175D">
      <w:r w:rsidRPr="000E175D">
        <w:t>13. There is established a Council of Ministers to be known as the Gene Technology</w:t>
      </w:r>
      <w:r w:rsidR="000E175D" w:rsidRPr="000E175D">
        <w:t xml:space="preserve"> </w:t>
      </w:r>
      <w:r w:rsidRPr="000E175D">
        <w:t>Ministerial Council.</w:t>
      </w:r>
    </w:p>
    <w:p w14:paraId="035BA7A8" w14:textId="77777777" w:rsidR="00480C97" w:rsidRPr="000E175D" w:rsidRDefault="00480C97" w:rsidP="000E175D">
      <w:r w:rsidRPr="000E175D">
        <w:t xml:space="preserve">14 The Council consists of one member from each Party, who shall be the Minister nominated by each Party’s Head of Government. That Minister will be responsible for presenting the view of his or her Government </w:t>
      </w:r>
      <w:proofErr w:type="gramStart"/>
      <w:r w:rsidRPr="000E175D">
        <w:t>as a whole on</w:t>
      </w:r>
      <w:proofErr w:type="gramEnd"/>
      <w:r w:rsidRPr="000E175D">
        <w:t xml:space="preserve"> the matters considered by the Council.</w:t>
      </w:r>
    </w:p>
    <w:p w14:paraId="6E3B8BCE" w14:textId="77777777" w:rsidR="00480C97" w:rsidRPr="000E175D" w:rsidRDefault="00480C97" w:rsidP="000E175D">
      <w:r w:rsidRPr="000E175D">
        <w:t xml:space="preserve">15. A Minister of a Party who is not a member of the Council may attend and participate in any meeting of the Council as an </w:t>
      </w:r>
      <w:proofErr w:type="gramStart"/>
      <w:r w:rsidRPr="000E175D">
        <w:t>observer, but</w:t>
      </w:r>
      <w:proofErr w:type="gramEnd"/>
      <w:r w:rsidRPr="000E175D">
        <w:t xml:space="preserve"> may not vote.</w:t>
      </w:r>
    </w:p>
    <w:p w14:paraId="7D6F4B61" w14:textId="77777777" w:rsidR="00480C97" w:rsidRPr="000E175D" w:rsidRDefault="00480C97" w:rsidP="000E175D">
      <w:r w:rsidRPr="000E175D">
        <w:lastRenderedPageBreak/>
        <w:t>16. The functions of the Council are to:</w:t>
      </w:r>
    </w:p>
    <w:p w14:paraId="31ABB7A8" w14:textId="77777777" w:rsidR="00480C97" w:rsidRPr="000E175D" w:rsidRDefault="00480C97" w:rsidP="000E175D">
      <w:r w:rsidRPr="000E175D">
        <w:t xml:space="preserve">(a) issue policy principles, policy guidelines and codes of practice to govern the activities of the Regulator and the operation of the </w:t>
      </w:r>
      <w:proofErr w:type="gramStart"/>
      <w:r w:rsidRPr="000E175D">
        <w:t>Scheme;</w:t>
      </w:r>
      <w:proofErr w:type="gramEnd"/>
    </w:p>
    <w:p w14:paraId="23B185C5" w14:textId="77777777" w:rsidR="00480C97" w:rsidRPr="000E175D" w:rsidRDefault="00480C97" w:rsidP="000E175D">
      <w:r w:rsidRPr="000E175D">
        <w:t xml:space="preserve">(b) approve proposed regulations for the purpose of the </w:t>
      </w:r>
      <w:proofErr w:type="gramStart"/>
      <w:r w:rsidRPr="000E175D">
        <w:t>Scheme;</w:t>
      </w:r>
      <w:proofErr w:type="gramEnd"/>
    </w:p>
    <w:p w14:paraId="6C6592F5" w14:textId="77777777" w:rsidR="00480C97" w:rsidRPr="000E175D" w:rsidRDefault="00480C97" w:rsidP="000E175D">
      <w:r w:rsidRPr="000E175D">
        <w:t xml:space="preserve">(c) approve the appointment (and, if necessary, the dismissal) of the Regulator, and of the chairpersons of the Gene Technology Technical Advisory Committee, the Gene Technology Community Consultative Committee, and the Gene Technology Ethics Committee, and advise the responsible Commonwealth Minister on the appointment of the members of those </w:t>
      </w:r>
      <w:proofErr w:type="gramStart"/>
      <w:r w:rsidRPr="000E175D">
        <w:t>bodies;</w:t>
      </w:r>
      <w:proofErr w:type="gramEnd"/>
    </w:p>
    <w:p w14:paraId="0FC3AA48" w14:textId="77777777" w:rsidR="00480C97" w:rsidRPr="000E175D" w:rsidRDefault="00480C97" w:rsidP="000E175D">
      <w:r w:rsidRPr="000E175D">
        <w:t xml:space="preserve">(d) ensure co-ordination with other Ministerial Councils on matters relating to gene technology and, in particular, harmonisation of regulatory processes relating to GM </w:t>
      </w:r>
      <w:proofErr w:type="gramStart"/>
      <w:r w:rsidRPr="000E175D">
        <w:t>products;</w:t>
      </w:r>
      <w:proofErr w:type="gramEnd"/>
    </w:p>
    <w:p w14:paraId="60684793" w14:textId="77777777" w:rsidR="00480C97" w:rsidRPr="000E175D" w:rsidRDefault="00480C97" w:rsidP="000E175D">
      <w:r w:rsidRPr="000E175D">
        <w:t xml:space="preserve">(e) oversee generally the implementation of the </w:t>
      </w:r>
      <w:proofErr w:type="gramStart"/>
      <w:r w:rsidRPr="000E175D">
        <w:t>Scheme;</w:t>
      </w:r>
      <w:proofErr w:type="gramEnd"/>
    </w:p>
    <w:p w14:paraId="1B8EADD1" w14:textId="77777777" w:rsidR="00480C97" w:rsidRPr="000E175D" w:rsidRDefault="00480C97" w:rsidP="000E175D">
      <w:r w:rsidRPr="000E175D">
        <w:t xml:space="preserve">(f) consider and, if thought fi t, agree on proposed changes to the </w:t>
      </w:r>
      <w:proofErr w:type="gramStart"/>
      <w:r w:rsidRPr="000E175D">
        <w:t>Scheme;</w:t>
      </w:r>
      <w:proofErr w:type="gramEnd"/>
    </w:p>
    <w:p w14:paraId="4BAEF57B" w14:textId="77777777" w:rsidR="00480C97" w:rsidRPr="000E175D" w:rsidRDefault="00480C97" w:rsidP="000E175D">
      <w:r w:rsidRPr="000E175D">
        <w:t>(g) initiate a review of the Scheme in accordance with Part 6; and</w:t>
      </w:r>
    </w:p>
    <w:p w14:paraId="120C3F43" w14:textId="77777777" w:rsidR="00480C97" w:rsidRPr="000E175D" w:rsidRDefault="00480C97" w:rsidP="000E175D">
      <w:r w:rsidRPr="000E175D">
        <w:t>(h) perform any other function conferred on the Council by this Agreement.</w:t>
      </w:r>
    </w:p>
    <w:p w14:paraId="7AE39D11" w14:textId="77777777" w:rsidR="00480C97" w:rsidRPr="000E175D" w:rsidRDefault="00480C97" w:rsidP="000E175D">
      <w:r w:rsidRPr="000E175D">
        <w:t xml:space="preserve">17. A member of the Council may appoint another Minister to act in his or her stead for the purpose of any meeting or decision of the Council. An acting member has, for the purposes of this Agreement, all the powers and functions of the Minister who is the member of the </w:t>
      </w:r>
      <w:proofErr w:type="gramStart"/>
      <w:r w:rsidRPr="000E175D">
        <w:t>Council, and</w:t>
      </w:r>
      <w:proofErr w:type="gramEnd"/>
      <w:r w:rsidRPr="000E175D">
        <w:t xml:space="preserve"> is to be responsible for presenting the view of his or her Government as a whole on the matters considered by the Council.</w:t>
      </w:r>
    </w:p>
    <w:p w14:paraId="090D8A11" w14:textId="77777777" w:rsidR="00480C97" w:rsidRPr="000E175D" w:rsidRDefault="00480C97" w:rsidP="000E175D">
      <w:r w:rsidRPr="000E175D">
        <w:t xml:space="preserve">18. The Council will meet at such times and places as </w:t>
      </w:r>
      <w:proofErr w:type="gramStart"/>
      <w:r w:rsidRPr="000E175D">
        <w:t>a majority of</w:t>
      </w:r>
      <w:proofErr w:type="gramEnd"/>
      <w:r w:rsidRPr="000E175D">
        <w:t xml:space="preserve"> the Council determines.</w:t>
      </w:r>
    </w:p>
    <w:p w14:paraId="67766F70" w14:textId="77777777" w:rsidR="00480C97" w:rsidRPr="000E175D" w:rsidRDefault="00480C97" w:rsidP="000E175D">
      <w:r w:rsidRPr="000E175D">
        <w:t>19. The chairperson of the Council until 30 June 2002 will be the responsible Commonwealth Minister. Thereafter, the chair of the Council will be rotated annually (or at such longer intervals as the Council may determine).</w:t>
      </w:r>
    </w:p>
    <w:p w14:paraId="459DFD8B" w14:textId="77777777" w:rsidR="00480C97" w:rsidRPr="000E175D" w:rsidRDefault="00480C97" w:rsidP="000E175D">
      <w:r w:rsidRPr="000E175D">
        <w:t>20. The quorum for a Council meeting will be at least half of the members of the Council.</w:t>
      </w:r>
    </w:p>
    <w:p w14:paraId="59149FE0" w14:textId="77777777" w:rsidR="00480C97" w:rsidRPr="000E175D" w:rsidRDefault="00480C97" w:rsidP="000E175D">
      <w:r w:rsidRPr="000E175D">
        <w:t xml:space="preserve">21. Questions arising in the Council will be determined in accordance with the Scheme, or otherwise by </w:t>
      </w:r>
      <w:proofErr w:type="gramStart"/>
      <w:r w:rsidRPr="000E175D">
        <w:t>a majority of</w:t>
      </w:r>
      <w:proofErr w:type="gramEnd"/>
      <w:r w:rsidRPr="000E175D">
        <w:t xml:space="preserve"> all members of the Council (except in the case of a resolution referred to in clause 33, which will be determined by a special majority).</w:t>
      </w:r>
    </w:p>
    <w:p w14:paraId="0746412D" w14:textId="77777777" w:rsidR="00480C97" w:rsidRPr="000E175D" w:rsidRDefault="00480C97" w:rsidP="000E175D">
      <w:r w:rsidRPr="000E175D">
        <w:t>22. Subject to clause 21, a question arising in the Council may be determined without a meeting in such manner as the Council determines (including by teleconference, videoconference, mail, or electronic mode of communication).</w:t>
      </w:r>
    </w:p>
    <w:p w14:paraId="2D3F04EF" w14:textId="77777777" w:rsidR="00480C97" w:rsidRPr="000E175D" w:rsidRDefault="00480C97" w:rsidP="000E175D">
      <w:r w:rsidRPr="000E175D">
        <w:t>In all cases, a copy of the proposed resolution will be circulated to all members of the Council before a vote is required.</w:t>
      </w:r>
    </w:p>
    <w:p w14:paraId="65AD1765" w14:textId="77777777" w:rsidR="00480C97" w:rsidRPr="000E175D" w:rsidRDefault="00480C97" w:rsidP="000E175D">
      <w:r w:rsidRPr="000E175D">
        <w:t>23. Where a matter under consideration by the Council affects the functions of another Ministerial Council, the chairperson will initiate discussions with the chair of the other Ministerial Council(s). In such discussions, the chair of the Council will act in a manner consistent with his or her capacity as a representative of the Council.</w:t>
      </w:r>
    </w:p>
    <w:p w14:paraId="3C675DFA" w14:textId="77777777" w:rsidR="00480C97" w:rsidRPr="000E175D" w:rsidRDefault="00480C97" w:rsidP="000E175D">
      <w:r w:rsidRPr="000E175D">
        <w:t>24. The Council may invite a representative of another Ministerial Council to attend and participate in a meeting of the Council as an observer.</w:t>
      </w:r>
    </w:p>
    <w:p w14:paraId="648D02F4" w14:textId="77777777" w:rsidR="00480C97" w:rsidRPr="000E175D" w:rsidRDefault="00480C97" w:rsidP="000E175D">
      <w:r w:rsidRPr="000E175D">
        <w:lastRenderedPageBreak/>
        <w:t xml:space="preserve">25. Subject to this Agreement, the Council may regulate its own procedure, and for that purpose the Council may make, </w:t>
      </w:r>
      <w:proofErr w:type="gramStart"/>
      <w:r w:rsidRPr="000E175D">
        <w:t>amend</w:t>
      </w:r>
      <w:proofErr w:type="gramEnd"/>
      <w:r w:rsidRPr="000E175D">
        <w:t xml:space="preserve"> and revoke rules of procedure.</w:t>
      </w:r>
    </w:p>
    <w:p w14:paraId="33F2D677" w14:textId="779E53AD" w:rsidR="00480C97" w:rsidRPr="00480C97" w:rsidRDefault="00480C97" w:rsidP="000E175D">
      <w:pPr>
        <w:pStyle w:val="Heading4"/>
      </w:pPr>
      <w:r w:rsidRPr="00480C97">
        <w:t>PART 4 — ROLES OF THE PARTIES IN THE ADMINISTRATION AND</w:t>
      </w:r>
      <w:r w:rsidR="00961B24">
        <w:t xml:space="preserve"> </w:t>
      </w:r>
      <w:r w:rsidRPr="00480C97">
        <w:t>ENFORCEMENT OF THE SCHEME</w:t>
      </w:r>
    </w:p>
    <w:p w14:paraId="061A57DE" w14:textId="77777777" w:rsidR="00480C97" w:rsidRDefault="00480C97" w:rsidP="00480C97">
      <w:r>
        <w:t>26. The Parties intend that a State or Territory which wishes to assist in the administration and enforcement of the Scheme will negotiate with the Commonwealth with a view to concluding a bilateral agreement on a fee-for-service basis. The negotiations will consider the resources and expertise required by the State or Territory, the level of payment for the proposed services and any other relevant matter. Any agreement will be consistent with clauses 27, 28 and 29.</w:t>
      </w:r>
    </w:p>
    <w:p w14:paraId="3BA9A1D0" w14:textId="77777777" w:rsidR="00480C97" w:rsidRDefault="00480C97" w:rsidP="00480C97">
      <w:r>
        <w:t>27. The Commonwealth will reimburse a State or Territory for reasonable costs incurred by a State or Territory in relation to:</w:t>
      </w:r>
    </w:p>
    <w:p w14:paraId="75B16AF2" w14:textId="77777777" w:rsidR="00480C97" w:rsidRDefault="00480C97" w:rsidP="00480C97">
      <w:r>
        <w:t xml:space="preserve">(a) the performance of functions delegated by the Regulator under the Scheme to a State or Territory </w:t>
      </w:r>
      <w:proofErr w:type="gramStart"/>
      <w:r>
        <w:t>official;</w:t>
      </w:r>
      <w:proofErr w:type="gramEnd"/>
    </w:p>
    <w:p w14:paraId="3260C392" w14:textId="77777777" w:rsidR="00480C97" w:rsidRDefault="00480C97" w:rsidP="00480C97">
      <w:r>
        <w:t>(b) the exercise of powers conferred under the Scheme on a State or Territory official who is appointed by the Regulator to act as an inspector; and</w:t>
      </w:r>
    </w:p>
    <w:p w14:paraId="453B830B" w14:textId="77777777" w:rsidR="00480C97" w:rsidRDefault="00480C97" w:rsidP="00480C97">
      <w:r>
        <w:t>(c) the provision of advice and assistance requested by the Regulator (other than under a mandatory provision of the Scheme requiring the Regulator to seek comments), including the provision of location-specific information relevant to applications.</w:t>
      </w:r>
    </w:p>
    <w:p w14:paraId="171F1005" w14:textId="77777777" w:rsidR="00480C97" w:rsidRDefault="00480C97" w:rsidP="00480C97">
      <w:r>
        <w:t>28. The States and Territories will be responsible for other costs incurred by them in connection with their participation in the Scheme, including:</w:t>
      </w:r>
    </w:p>
    <w:p w14:paraId="1DB64D2F" w14:textId="77777777" w:rsidR="00480C97" w:rsidRDefault="00480C97" w:rsidP="00480C97">
      <w:r>
        <w:t>(a) costs incurred in providing advice to the Regulator on applications and on draft risk assessments and risk management plans (other than costs referred to in paragraph 27(c)</w:t>
      </w:r>
      <w:proofErr w:type="gramStart"/>
      <w:r>
        <w:t>);</w:t>
      </w:r>
      <w:proofErr w:type="gramEnd"/>
    </w:p>
    <w:p w14:paraId="75BBD4D8" w14:textId="77777777" w:rsidR="00480C97" w:rsidRDefault="00480C97" w:rsidP="00480C97">
      <w:r>
        <w:t xml:space="preserve">(b) costs incurred in bringing a prosecution under a corresponding State or Territory law; and </w:t>
      </w:r>
    </w:p>
    <w:p w14:paraId="41E15B54" w14:textId="77777777" w:rsidR="00480C97" w:rsidRDefault="00480C97" w:rsidP="00480C97">
      <w:r>
        <w:t>(c) costs incurred in contributing to policy development, including costs associated with meetings of the Council and meetings of officials.</w:t>
      </w:r>
    </w:p>
    <w:p w14:paraId="7D797EE7" w14:textId="77777777" w:rsidR="00480C97" w:rsidRDefault="00480C97" w:rsidP="00480C97">
      <w:r>
        <w:t>29. Where the services of a State or Territory official are made available to assist the Regulator, the Commonwealth will pay the State or Territory an amount equal to the employment costs (comprising salary and on-costs) of the official for the duration of the secondment, in proportion to the percentage of the official’s time spent assisting the Regulator in connection with the performance of the Regulator’s functions.</w:t>
      </w:r>
    </w:p>
    <w:p w14:paraId="39065882" w14:textId="77777777" w:rsidR="00480C97" w:rsidRDefault="00480C97" w:rsidP="00480C97">
      <w:r>
        <w:t xml:space="preserve">30. The Commonwealth will enable access for States and Territories to both publicly available and confidential information held by the Regulator in connection with applications, notifications and licences, and monitoring, </w:t>
      </w:r>
      <w:proofErr w:type="gramStart"/>
      <w:r>
        <w:t>inspections</w:t>
      </w:r>
      <w:proofErr w:type="gramEnd"/>
      <w:r>
        <w:t xml:space="preserve"> and enforcement under the Scheme. Electronic access will be provided to publicly available information and, where appropriate security arrangements permit, to confidential information.</w:t>
      </w:r>
    </w:p>
    <w:p w14:paraId="22D7822B" w14:textId="77777777" w:rsidR="000E175D" w:rsidRDefault="00480C97" w:rsidP="00480C97">
      <w:r>
        <w:t>31. The Parties will informally exchange information of a kind, and at intervals, to facilitate the effective and efficient operation of the Scheme.</w:t>
      </w:r>
    </w:p>
    <w:p w14:paraId="2AE0A412" w14:textId="77777777" w:rsidR="00837803" w:rsidRPr="00837803" w:rsidRDefault="00480C97" w:rsidP="00837803">
      <w:pPr>
        <w:pStyle w:val="Heading4"/>
        <w:rPr>
          <w:rStyle w:val="Heading4Char"/>
          <w:b/>
          <w:i/>
          <w:iCs/>
        </w:rPr>
      </w:pPr>
      <w:r w:rsidRPr="00837803">
        <w:rPr>
          <w:rStyle w:val="Heading4Char"/>
          <w:b/>
          <w:i/>
          <w:iCs/>
        </w:rPr>
        <w:t>PART 5 — MAINTENANCE OF A NATIONALLY CONSISTENT SCHEME OVER TIME AND AMENDMENT OF THE SCHEME</w:t>
      </w:r>
    </w:p>
    <w:p w14:paraId="6BDDD8C6" w14:textId="653E877D" w:rsidR="00480C97" w:rsidRDefault="00480C97" w:rsidP="00480C97">
      <w:r>
        <w:t>32. The Parties agree to use their best endeavours to ensure that the legislation forming part of the Scheme (including all subordinate instruments) will remain nationally consistent.</w:t>
      </w:r>
    </w:p>
    <w:p w14:paraId="38D21ED0" w14:textId="77777777" w:rsidR="00480C97" w:rsidRDefault="00480C97" w:rsidP="00480C97">
      <w:r>
        <w:lastRenderedPageBreak/>
        <w:t>33. Any Party that proposes to amend its legislation forming part of the Scheme will submit the proposed amendments to the Council for consideration before introduction of the amendments. The amendments will be submitted at least one month before introduction (unless a different minimum notice period is determined by the Council). Each Party agrees that it will not introduce such an amendment unless the Council has by special majority resolved to approve the proposed amendment.</w:t>
      </w:r>
    </w:p>
    <w:p w14:paraId="6FF4E734" w14:textId="77777777" w:rsidR="00480C97" w:rsidRDefault="00480C97" w:rsidP="00480C97">
      <w:r>
        <w:t>34. Where the Council approves an amendment to legislation forming part of the Scheme, all Parties will (unless otherwise agreed by the Council) introduce appropriate amendments to their legislation to ensure that the Scheme remains nationally consistent.</w:t>
      </w:r>
    </w:p>
    <w:p w14:paraId="2156A756" w14:textId="77777777" w:rsidR="00480C97" w:rsidRDefault="00480C97" w:rsidP="00480C97">
      <w:r>
        <w:t>35. Any Party that proposes to introduce legislation that would affect the Scheme (but not amend legislation forming part of the Scheme) will give written notice to the Council of the effect of its legislative proposals on the Scheme, at least one month before introduction of the legislation (unless a different minimum notice period is determined by the Council).</w:t>
      </w:r>
    </w:p>
    <w:p w14:paraId="5B6DE6A9" w14:textId="77777777" w:rsidR="000E175D" w:rsidRDefault="00480C97" w:rsidP="00526E91">
      <w:r>
        <w:t>36. Each Party will use its best endeavours to ensure that any subordinate instrument issued by the Council is not disallowed by its Parliament</w:t>
      </w:r>
    </w:p>
    <w:p w14:paraId="145E4205" w14:textId="7929F60D" w:rsidR="00526E91" w:rsidRPr="00D05FE3" w:rsidRDefault="00526E91" w:rsidP="00D05FE3">
      <w:pPr>
        <w:pStyle w:val="Heading4"/>
      </w:pPr>
      <w:r w:rsidRPr="00D05FE3">
        <w:t>PART 6 — REVIEW OF IMPLEMENTATION AND EFFECTIVENESS</w:t>
      </w:r>
    </w:p>
    <w:p w14:paraId="7F1780FF" w14:textId="77777777" w:rsidR="00526E91" w:rsidRDefault="00526E91" w:rsidP="00526E91">
      <w:r>
        <w:t>37. The Parties will review this Agreement and the Scheme no later than four years after the commencement of this Agreement. Further reviews will be conducted at intervals of no more than five years.</w:t>
      </w:r>
    </w:p>
    <w:p w14:paraId="43BCA5E8" w14:textId="77777777" w:rsidR="00526E91" w:rsidRDefault="00526E91" w:rsidP="00526E91">
      <w:r>
        <w:t>38. Each such review will invite public submissions and be conducted in consultation with:</w:t>
      </w:r>
    </w:p>
    <w:p w14:paraId="37358515" w14:textId="77777777" w:rsidR="00526E91" w:rsidRDefault="00526E91" w:rsidP="00526E91">
      <w:r>
        <w:t xml:space="preserve">(a) the </w:t>
      </w:r>
      <w:proofErr w:type="gramStart"/>
      <w:r>
        <w:t>Regulator;</w:t>
      </w:r>
      <w:proofErr w:type="gramEnd"/>
    </w:p>
    <w:p w14:paraId="1B3F3B44" w14:textId="77777777" w:rsidR="00526E91" w:rsidRDefault="00526E91" w:rsidP="00526E91">
      <w:r>
        <w:t xml:space="preserve">(b) the Gene Technology Technical Advisory Committee, the Gene Technology Community Consultative </w:t>
      </w:r>
      <w:proofErr w:type="gramStart"/>
      <w:r>
        <w:t>Committee</w:t>
      </w:r>
      <w:proofErr w:type="gramEnd"/>
      <w:r>
        <w:t xml:space="preserve"> and the Gene Technology Ethics Committee; and</w:t>
      </w:r>
    </w:p>
    <w:p w14:paraId="63D161DD" w14:textId="59D154AC" w:rsidR="00526E91" w:rsidRDefault="00526E91" w:rsidP="00526E91">
      <w:r>
        <w:t>(c) such scientific, consumer, health, environmental, and industry groups as the Parties consider appropriate.</w:t>
      </w:r>
    </w:p>
    <w:p w14:paraId="72A44408" w14:textId="4EAA1F61" w:rsidR="00526E91" w:rsidRPr="00526E91" w:rsidRDefault="00526E91" w:rsidP="00B82B9A">
      <w:pPr>
        <w:pStyle w:val="Heading4"/>
      </w:pPr>
      <w:r w:rsidRPr="00526E91">
        <w:t>PART 7 — AMENDMENT OR VARIATION OF AGREEMENT</w:t>
      </w:r>
    </w:p>
    <w:p w14:paraId="22D2E490" w14:textId="77777777" w:rsidR="00526E91" w:rsidRDefault="00526E91" w:rsidP="00526E91">
      <w:r>
        <w:t>39. Where a Party considers that an amendment to this Agreement would be desirable, it may request consultations with the other Parties.</w:t>
      </w:r>
    </w:p>
    <w:p w14:paraId="0F973352" w14:textId="6F829E5B" w:rsidR="00526E91" w:rsidRDefault="00526E91" w:rsidP="00526E91">
      <w:r>
        <w:t>40. Any amendment to this Agreement agreed upon by all Parties will be contained in a notice signed by and given to all Parties, and the notice will include the date on which the amendment will come into force.</w:t>
      </w:r>
    </w:p>
    <w:p w14:paraId="36987D72" w14:textId="469D1BEA" w:rsidR="00526E91" w:rsidRPr="00526E91" w:rsidRDefault="00526E91" w:rsidP="00B82B9A">
      <w:pPr>
        <w:pStyle w:val="Heading4"/>
      </w:pPr>
      <w:r w:rsidRPr="00526E91">
        <w:t>PART 8 — DISPUTE RESOLUTION</w:t>
      </w:r>
    </w:p>
    <w:p w14:paraId="13116226" w14:textId="77777777" w:rsidR="00526E91" w:rsidRDefault="00526E91" w:rsidP="00526E91">
      <w:r>
        <w:t>41. Where a dispute arises under this Agreement:</w:t>
      </w:r>
    </w:p>
    <w:p w14:paraId="1CEEF637" w14:textId="77777777" w:rsidR="00526E91" w:rsidRDefault="00526E91" w:rsidP="00526E91">
      <w:r>
        <w:t>(a) the members of the Council will negotiate to resolve the dispute; and</w:t>
      </w:r>
    </w:p>
    <w:p w14:paraId="578E8F78" w14:textId="7897D94C" w:rsidR="00526E91" w:rsidRDefault="00526E91" w:rsidP="00526E91">
      <w:r>
        <w:t>(b) if the negotiation fails, the Council will refer the dispute to Heads of Government or their nominated representatives to seek a resolution.</w:t>
      </w:r>
    </w:p>
    <w:p w14:paraId="1322E4D5" w14:textId="74781E95" w:rsidR="00526E91" w:rsidRPr="006D3E43" w:rsidRDefault="00526E91" w:rsidP="000032C9">
      <w:pPr>
        <w:pStyle w:val="Heading4"/>
      </w:pPr>
      <w:r w:rsidRPr="006D3E43">
        <w:t>PART 9 — WITHDRAWAL AND TERMINATION</w:t>
      </w:r>
    </w:p>
    <w:p w14:paraId="3CB18AFB" w14:textId="2C94413B" w:rsidR="006D3E43" w:rsidRDefault="000032C9" w:rsidP="000032C9">
      <w:r>
        <w:t>42.</w:t>
      </w:r>
      <w:r w:rsidR="00E55449">
        <w:t xml:space="preserve"> </w:t>
      </w:r>
      <w:r w:rsidR="00526E91">
        <w:t xml:space="preserve">Any </w:t>
      </w:r>
      <w:r w:rsidR="00526E91" w:rsidRPr="000032C9">
        <w:t>Party</w:t>
      </w:r>
      <w:r w:rsidR="00526E91">
        <w:t xml:space="preserve"> that intends to withdraw from this Agreement must give at least 12</w:t>
      </w:r>
      <w:r w:rsidR="006D3E43">
        <w:t xml:space="preserve"> months’ notice</w:t>
      </w:r>
      <w:r w:rsidR="00526E91">
        <w:t xml:space="preserve"> in writing to each of the other Parties. At the expiration of that</w:t>
      </w:r>
      <w:r w:rsidR="006D3E43">
        <w:t xml:space="preserve"> </w:t>
      </w:r>
      <w:r w:rsidR="00526E91">
        <w:t>period, the Party may withdraw from the Agreement by giving written notice to</w:t>
      </w:r>
      <w:r w:rsidR="006D3E43">
        <w:t xml:space="preserve"> </w:t>
      </w:r>
      <w:r w:rsidR="00526E91">
        <w:t>all other Parties stating the date that the withdrawal will be effective</w:t>
      </w:r>
      <w:r w:rsidR="006D3E43">
        <w:t>.</w:t>
      </w:r>
    </w:p>
    <w:p w14:paraId="2BE99A9E" w14:textId="77777777" w:rsidR="006D3E43" w:rsidRDefault="006D3E43" w:rsidP="006D3E43">
      <w:r w:rsidRPr="006D3E43">
        <w:rPr>
          <w:b/>
        </w:rPr>
        <w:lastRenderedPageBreak/>
        <w:t>IN WITNESS WHEREOF</w:t>
      </w:r>
      <w:r>
        <w:t xml:space="preserve"> the Parties have executed this Agreement as at the day and year first above written.</w:t>
      </w:r>
    </w:p>
    <w:p w14:paraId="3BDD732C" w14:textId="77777777" w:rsidR="006D3E43" w:rsidRDefault="006D3E43" w:rsidP="006D3E43">
      <w:r>
        <w:t>Signed By:</w:t>
      </w:r>
    </w:p>
    <w:p w14:paraId="39982C50" w14:textId="77777777" w:rsidR="006D3E43" w:rsidRDefault="006D3E43" w:rsidP="006D3E43">
      <w:r>
        <w:t xml:space="preserve">The Honourable John Winston Howard </w:t>
      </w:r>
      <w:proofErr w:type="gramStart"/>
      <w:r>
        <w:t>MP )</w:t>
      </w:r>
      <w:proofErr w:type="gramEnd"/>
    </w:p>
    <w:p w14:paraId="1DE8BDED" w14:textId="77777777" w:rsidR="006D3E43" w:rsidRDefault="006D3E43" w:rsidP="006D3E43">
      <w:r>
        <w:t xml:space="preserve">Prime Minister of the Commonwealth of </w:t>
      </w:r>
      <w:proofErr w:type="gramStart"/>
      <w:r>
        <w:t>Australia )</w:t>
      </w:r>
      <w:proofErr w:type="gramEnd"/>
      <w:r>
        <w:t xml:space="preserve"> ____________________________</w:t>
      </w:r>
    </w:p>
    <w:p w14:paraId="04CADDCE" w14:textId="77777777" w:rsidR="006D3E43" w:rsidRDefault="006D3E43" w:rsidP="006D3E43">
      <w:r>
        <w:t xml:space="preserve">The Honourable Robert John </w:t>
      </w:r>
      <w:proofErr w:type="spellStart"/>
      <w:r>
        <w:t>Carr</w:t>
      </w:r>
      <w:proofErr w:type="spellEnd"/>
      <w:r>
        <w:t xml:space="preserve"> </w:t>
      </w:r>
      <w:proofErr w:type="gramStart"/>
      <w:r>
        <w:t>MP )</w:t>
      </w:r>
      <w:proofErr w:type="gramEnd"/>
    </w:p>
    <w:p w14:paraId="75ABDDDB" w14:textId="77777777" w:rsidR="006D3E43" w:rsidRDefault="006D3E43" w:rsidP="006D3E43">
      <w:r>
        <w:t xml:space="preserve">Premier of the State of New South </w:t>
      </w:r>
      <w:proofErr w:type="gramStart"/>
      <w:r>
        <w:t>Wales )</w:t>
      </w:r>
      <w:proofErr w:type="gramEnd"/>
      <w:r>
        <w:t xml:space="preserve"> ____________________________</w:t>
      </w:r>
    </w:p>
    <w:p w14:paraId="5D6B1956" w14:textId="77777777" w:rsidR="006D3E43" w:rsidRDefault="006D3E43" w:rsidP="006D3E43">
      <w:r>
        <w:t xml:space="preserve">The Honourable Stephen Phillip </w:t>
      </w:r>
      <w:proofErr w:type="spellStart"/>
      <w:r>
        <w:t>Bracks</w:t>
      </w:r>
      <w:proofErr w:type="spellEnd"/>
      <w:r>
        <w:t xml:space="preserve"> </w:t>
      </w:r>
      <w:proofErr w:type="gramStart"/>
      <w:r>
        <w:t>MP )</w:t>
      </w:r>
      <w:proofErr w:type="gramEnd"/>
    </w:p>
    <w:p w14:paraId="70B7DEF7" w14:textId="77777777" w:rsidR="006D3E43" w:rsidRDefault="006D3E43" w:rsidP="006D3E43">
      <w:r>
        <w:t xml:space="preserve">Premier of the State of </w:t>
      </w:r>
      <w:proofErr w:type="gramStart"/>
      <w:r>
        <w:t>Victoria )</w:t>
      </w:r>
      <w:proofErr w:type="gramEnd"/>
      <w:r>
        <w:t xml:space="preserve"> ____________________________</w:t>
      </w:r>
    </w:p>
    <w:p w14:paraId="58F1AB0E" w14:textId="77777777" w:rsidR="006D3E43" w:rsidRDefault="006D3E43" w:rsidP="006D3E43">
      <w:r>
        <w:t xml:space="preserve">The Honourable Geoff Gallop </w:t>
      </w:r>
      <w:proofErr w:type="gramStart"/>
      <w:r>
        <w:t>MLA )</w:t>
      </w:r>
      <w:proofErr w:type="gramEnd"/>
    </w:p>
    <w:p w14:paraId="4A3C25B5" w14:textId="77777777" w:rsidR="006D3E43" w:rsidRDefault="006D3E43" w:rsidP="006D3E43">
      <w:r>
        <w:t xml:space="preserve">Premier of the State of Western </w:t>
      </w:r>
      <w:proofErr w:type="gramStart"/>
      <w:r>
        <w:t>Australia )</w:t>
      </w:r>
      <w:proofErr w:type="gramEnd"/>
      <w:r>
        <w:t xml:space="preserve"> ____________________________</w:t>
      </w:r>
    </w:p>
    <w:p w14:paraId="007F60A2" w14:textId="77777777" w:rsidR="006D3E43" w:rsidRDefault="006D3E43" w:rsidP="006D3E43">
      <w:r>
        <w:t xml:space="preserve">The Honourable Peter Douglas Beattie </w:t>
      </w:r>
      <w:proofErr w:type="gramStart"/>
      <w:r>
        <w:t>MLA )</w:t>
      </w:r>
      <w:proofErr w:type="gramEnd"/>
    </w:p>
    <w:p w14:paraId="31AACC18" w14:textId="77777777" w:rsidR="006D3E43" w:rsidRDefault="006D3E43" w:rsidP="006D3E43">
      <w:r>
        <w:t xml:space="preserve">Premier of the State of </w:t>
      </w:r>
      <w:proofErr w:type="gramStart"/>
      <w:r>
        <w:t>Queensland )</w:t>
      </w:r>
      <w:proofErr w:type="gramEnd"/>
      <w:r>
        <w:t xml:space="preserve"> ____________________________</w:t>
      </w:r>
    </w:p>
    <w:p w14:paraId="006472C4" w14:textId="77777777" w:rsidR="006D3E43" w:rsidRDefault="006D3E43" w:rsidP="006D3E43">
      <w:r>
        <w:t xml:space="preserve">The Honourable John Wayne Olsen </w:t>
      </w:r>
      <w:proofErr w:type="gramStart"/>
      <w:r>
        <w:t>MP )</w:t>
      </w:r>
      <w:proofErr w:type="gramEnd"/>
    </w:p>
    <w:p w14:paraId="2893711B" w14:textId="77777777" w:rsidR="006D3E43" w:rsidRDefault="006D3E43" w:rsidP="006D3E43">
      <w:r>
        <w:t xml:space="preserve">Premier of the State of South </w:t>
      </w:r>
      <w:proofErr w:type="gramStart"/>
      <w:r>
        <w:t>Australia )</w:t>
      </w:r>
      <w:proofErr w:type="gramEnd"/>
      <w:r>
        <w:t xml:space="preserve"> ____________________________</w:t>
      </w:r>
    </w:p>
    <w:p w14:paraId="3B66D4DE" w14:textId="77777777" w:rsidR="006D3E43" w:rsidRDefault="006D3E43" w:rsidP="006D3E43">
      <w:r>
        <w:t xml:space="preserve">Mr Jim Bacon </w:t>
      </w:r>
      <w:proofErr w:type="gramStart"/>
      <w:r>
        <w:t>MHA )</w:t>
      </w:r>
      <w:proofErr w:type="gramEnd"/>
    </w:p>
    <w:p w14:paraId="73010DC4" w14:textId="77777777" w:rsidR="006D3E43" w:rsidRDefault="006D3E43" w:rsidP="006D3E43">
      <w:r>
        <w:t xml:space="preserve">Premier of the State of </w:t>
      </w:r>
      <w:proofErr w:type="gramStart"/>
      <w:r>
        <w:t>Tasmania )</w:t>
      </w:r>
      <w:proofErr w:type="gramEnd"/>
      <w:r>
        <w:t xml:space="preserve"> ____________________________</w:t>
      </w:r>
    </w:p>
    <w:p w14:paraId="0A7A1AE2" w14:textId="77777777" w:rsidR="006D3E43" w:rsidRDefault="006D3E43" w:rsidP="006D3E43">
      <w:r>
        <w:t xml:space="preserve">The Honourable Denis Burke </w:t>
      </w:r>
      <w:proofErr w:type="gramStart"/>
      <w:r>
        <w:t>MLA )</w:t>
      </w:r>
      <w:proofErr w:type="gramEnd"/>
    </w:p>
    <w:p w14:paraId="0965FB30" w14:textId="77777777" w:rsidR="006D3E43" w:rsidRDefault="006D3E43" w:rsidP="006D3E43">
      <w:r>
        <w:t xml:space="preserve">Chief Minister of the Northern Territory of </w:t>
      </w:r>
      <w:proofErr w:type="gramStart"/>
      <w:r>
        <w:t>Australia )</w:t>
      </w:r>
      <w:proofErr w:type="gramEnd"/>
      <w:r>
        <w:t xml:space="preserve"> ____________________________</w:t>
      </w:r>
    </w:p>
    <w:p w14:paraId="286224EC" w14:textId="77777777" w:rsidR="006D3E43" w:rsidRDefault="006D3E43" w:rsidP="006D3E43">
      <w:r>
        <w:t xml:space="preserve">Mr Gary John Joseph Humphries </w:t>
      </w:r>
      <w:proofErr w:type="gramStart"/>
      <w:r>
        <w:t>MLA )</w:t>
      </w:r>
      <w:proofErr w:type="gramEnd"/>
    </w:p>
    <w:p w14:paraId="582F4C52" w14:textId="77777777" w:rsidR="006D3E43" w:rsidRDefault="006D3E43" w:rsidP="006D3E43">
      <w:r>
        <w:t xml:space="preserve">Chief Minister of the Australian Capital </w:t>
      </w:r>
      <w:proofErr w:type="gramStart"/>
      <w:r>
        <w:t>Territory )</w:t>
      </w:r>
      <w:proofErr w:type="gramEnd"/>
      <w:r>
        <w:t xml:space="preserve"> ____________________________</w:t>
      </w:r>
    </w:p>
    <w:p w14:paraId="298FD6C8" w14:textId="77777777" w:rsidR="006D3E43" w:rsidRDefault="006D3E43" w:rsidP="00E55449">
      <w:r>
        <w:br w:type="page"/>
      </w:r>
    </w:p>
    <w:p w14:paraId="0E2F8D34" w14:textId="145DEBA5" w:rsidR="006D3E43" w:rsidRPr="00E70AE3" w:rsidRDefault="00E672EA" w:rsidP="00E55449">
      <w:pPr>
        <w:pStyle w:val="Heading1"/>
      </w:pPr>
      <w:bookmarkStart w:id="89" w:name="_Toc95326323"/>
      <w:r w:rsidRPr="006D3E43">
        <w:lastRenderedPageBreak/>
        <w:t xml:space="preserve">Appendix </w:t>
      </w:r>
      <w:r w:rsidR="006D3E43" w:rsidRPr="006D3E43">
        <w:t>7</w:t>
      </w:r>
      <w:bookmarkEnd w:id="89"/>
    </w:p>
    <w:p w14:paraId="5148AF80" w14:textId="7868D876" w:rsidR="00461922" w:rsidRPr="003E08A8" w:rsidRDefault="00461922" w:rsidP="003E08A8">
      <w:pPr>
        <w:pStyle w:val="Heading2"/>
      </w:pPr>
      <w:bookmarkStart w:id="90" w:name="_Toc95326324"/>
      <w:r w:rsidRPr="003E08A8">
        <w:t>Technical amendments recommended by the Regulator</w:t>
      </w:r>
      <w:bookmarkEnd w:id="90"/>
    </w:p>
    <w:p w14:paraId="6C819066" w14:textId="77777777" w:rsidR="00461922" w:rsidRPr="00461922" w:rsidRDefault="00461922" w:rsidP="00461922">
      <w:pPr>
        <w:rPr>
          <w:b/>
          <w:i/>
        </w:rPr>
      </w:pPr>
      <w:r w:rsidRPr="00461922">
        <w:rPr>
          <w:b/>
          <w:i/>
        </w:rPr>
        <w:t>Section 10 — Def</w:t>
      </w:r>
      <w:r>
        <w:rPr>
          <w:b/>
          <w:i/>
        </w:rPr>
        <w:t>i</w:t>
      </w:r>
      <w:r w:rsidRPr="00461922">
        <w:rPr>
          <w:b/>
          <w:i/>
        </w:rPr>
        <w:t>nition of ‘deal with’</w:t>
      </w:r>
    </w:p>
    <w:p w14:paraId="418D7D29" w14:textId="77777777" w:rsidR="00461922" w:rsidRDefault="00461922" w:rsidP="00461922">
      <w:r>
        <w:t xml:space="preserve">Currently, possession, supply, use, </w:t>
      </w:r>
      <w:proofErr w:type="gramStart"/>
      <w:r>
        <w:t>transport</w:t>
      </w:r>
      <w:proofErr w:type="gramEnd"/>
      <w:r>
        <w:t xml:space="preserve"> and disposal of a GMO are only dealings when they occur ‘in the course of’ the defined dealings. </w:t>
      </w:r>
      <w:proofErr w:type="gramStart"/>
      <w:r>
        <w:t>However</w:t>
      </w:r>
      <w:proofErr w:type="gramEnd"/>
      <w:r>
        <w:t xml:space="preserve"> these things can happen other than in the course of the defined dealings. A GMO may be possessed or transported for reasons which are not </w:t>
      </w:r>
      <w:proofErr w:type="gramStart"/>
      <w:r>
        <w:t>in the course of</w:t>
      </w:r>
      <w:proofErr w:type="gramEnd"/>
      <w:r>
        <w:t xml:space="preserve"> conducting experiments, growing, breeding etc. For example, a GMO intending to be displayed in a museum simply as an item of interest would not be caught as a ‘dealing’. It is recommended that the definition be revisited with a view to anticipating circumstances where the possession, supply, use, </w:t>
      </w:r>
      <w:proofErr w:type="gramStart"/>
      <w:r>
        <w:t>transport</w:t>
      </w:r>
      <w:proofErr w:type="gramEnd"/>
      <w:r>
        <w:t xml:space="preserve"> or disposal of a GMO should be considered a dealing in its own right.</w:t>
      </w:r>
    </w:p>
    <w:p w14:paraId="6C075B25" w14:textId="77777777" w:rsidR="00461922" w:rsidRPr="00461922" w:rsidRDefault="00461922" w:rsidP="00461922">
      <w:pPr>
        <w:rPr>
          <w:b/>
          <w:i/>
        </w:rPr>
      </w:pPr>
      <w:r w:rsidRPr="00461922">
        <w:rPr>
          <w:b/>
          <w:i/>
        </w:rPr>
        <w:t>Section 43(2)(d) — The Regulator’s legislative capacity to cease consideration of an application</w:t>
      </w:r>
    </w:p>
    <w:p w14:paraId="71407EB1" w14:textId="77777777" w:rsidR="00461922" w:rsidRDefault="00461922" w:rsidP="00461922">
      <w:r>
        <w:t>For the reasons discussed in the background to Recommendation 5.1 of the Regulator’s submission it is not clear whether section 43(2)(d) of the Act can be interpreted as a capacity of the Regulator to end consideration of an application after its consideration has been commenced but not completed due to a failure by an applicant to provide information.</w:t>
      </w:r>
    </w:p>
    <w:p w14:paraId="52494E00" w14:textId="77777777" w:rsidR="006D3E43" w:rsidRDefault="00461922" w:rsidP="00461922">
      <w:r>
        <w:t xml:space="preserve">The recommendation is that paragraph 43(2)(d) be amended to allow the Regulator to exercise a discretion to consider the application withdrawn where there has been a failure by the applicant to provide requested information within a specified </w:t>
      </w:r>
      <w:proofErr w:type="gramStart"/>
      <w:r>
        <w:t>time period</w:t>
      </w:r>
      <w:proofErr w:type="gramEnd"/>
      <w:r>
        <w:t xml:space="preserve"> irrespective of when that request for further information occurs.</w:t>
      </w:r>
    </w:p>
    <w:p w14:paraId="61424006" w14:textId="77777777" w:rsidR="00461922" w:rsidRPr="00461922" w:rsidRDefault="00461922" w:rsidP="00461922">
      <w:pPr>
        <w:rPr>
          <w:b/>
          <w:i/>
        </w:rPr>
      </w:pPr>
      <w:r w:rsidRPr="00461922">
        <w:rPr>
          <w:b/>
          <w:i/>
        </w:rPr>
        <w:t>Section 56 — Matters to which the Regulator is required to have regard for Division</w:t>
      </w:r>
      <w:r>
        <w:rPr>
          <w:b/>
          <w:i/>
        </w:rPr>
        <w:t xml:space="preserve"> </w:t>
      </w:r>
      <w:r w:rsidRPr="00461922">
        <w:rPr>
          <w:b/>
          <w:i/>
        </w:rPr>
        <w:t>3 applications (DNIRs)</w:t>
      </w:r>
    </w:p>
    <w:p w14:paraId="459F00D8" w14:textId="77777777" w:rsidR="00461922" w:rsidRDefault="00461922" w:rsidP="00461922">
      <w:r>
        <w:t xml:space="preserve">There is no express requirement under section 56 that in considering an application for a dealing which will not involve the intentional release of a GMO into the environment (a Division 3 application), the Regulator should have regard to </w:t>
      </w:r>
      <w:proofErr w:type="gramStart"/>
      <w:r>
        <w:t>RARMPS</w:t>
      </w:r>
      <w:proofErr w:type="gramEnd"/>
      <w:r>
        <w:t xml:space="preserve"> and submissions prepared under section 47. Regard to these matters is probably implied as a necessary step in </w:t>
      </w:r>
      <w:proofErr w:type="gramStart"/>
      <w:r>
        <w:t>taking into account</w:t>
      </w:r>
      <w:proofErr w:type="gramEnd"/>
      <w:r>
        <w:t xml:space="preserve"> all relevant considerations. </w:t>
      </w:r>
      <w:proofErr w:type="gramStart"/>
      <w:r>
        <w:t>However</w:t>
      </w:r>
      <w:proofErr w:type="gramEnd"/>
      <w:r>
        <w:t xml:space="preserve"> section 56 expressly requires regard to be had to RARMPS and submissions with respect to Direct Intentional Releases (Division 4 applications) and the recommendation is that a similar requirement be express with respect to Division 3 applications.</w:t>
      </w:r>
    </w:p>
    <w:p w14:paraId="7FF03010" w14:textId="77777777" w:rsidR="00461922" w:rsidRPr="00A12280" w:rsidRDefault="00461922" w:rsidP="00461922">
      <w:pPr>
        <w:rPr>
          <w:b/>
          <w:i/>
        </w:rPr>
      </w:pPr>
      <w:r w:rsidRPr="00A12280">
        <w:rPr>
          <w:b/>
          <w:i/>
        </w:rPr>
        <w:t>Section 57 Consideration of suitability to hold licence</w:t>
      </w:r>
    </w:p>
    <w:p w14:paraId="3C70CE99" w14:textId="77777777" w:rsidR="00461922" w:rsidRDefault="00461922" w:rsidP="00461922">
      <w:r>
        <w:t>Currently this can only happen after the processes required by Part 5 of the Act. If</w:t>
      </w:r>
      <w:r w:rsidR="00A12280">
        <w:t xml:space="preserve"> </w:t>
      </w:r>
      <w:r>
        <w:t>an applicant turns out to be unsuitable the extensive assessment and consultation</w:t>
      </w:r>
      <w:r w:rsidR="00A12280">
        <w:t xml:space="preserve"> </w:t>
      </w:r>
      <w:r>
        <w:t>p</w:t>
      </w:r>
      <w:r w:rsidR="00A12280">
        <w:t>rocess will have been an ineffi</w:t>
      </w:r>
      <w:r>
        <w:t>cient use of resources. Unsuitability to hold a licence</w:t>
      </w:r>
      <w:r w:rsidR="00A12280">
        <w:t xml:space="preserve"> </w:t>
      </w:r>
      <w:r>
        <w:t>could be added to the list of circumstances under subsection 43(2) where the</w:t>
      </w:r>
      <w:r w:rsidR="00A12280">
        <w:t xml:space="preserve"> </w:t>
      </w:r>
      <w:r>
        <w:t>Regulator does not have to consider an application for a licence.</w:t>
      </w:r>
    </w:p>
    <w:p w14:paraId="4EB295ED" w14:textId="06B05494" w:rsidR="00461922" w:rsidRPr="00A12280" w:rsidRDefault="00461922" w:rsidP="00461922">
      <w:pPr>
        <w:rPr>
          <w:b/>
          <w:i/>
        </w:rPr>
      </w:pPr>
      <w:r w:rsidRPr="00A12280">
        <w:rPr>
          <w:b/>
          <w:i/>
        </w:rPr>
        <w:t>Sections 72, 89 and 97 — Variations to</w:t>
      </w:r>
      <w:r w:rsidR="00A12280" w:rsidRPr="00A12280">
        <w:rPr>
          <w:b/>
          <w:i/>
        </w:rPr>
        <w:t xml:space="preserve"> conditions of licence, </w:t>
      </w:r>
      <w:proofErr w:type="gramStart"/>
      <w:r w:rsidR="00A12280" w:rsidRPr="00A12280">
        <w:rPr>
          <w:b/>
          <w:i/>
        </w:rPr>
        <w:t>certifi</w:t>
      </w:r>
      <w:r w:rsidRPr="00A12280">
        <w:rPr>
          <w:b/>
          <w:i/>
        </w:rPr>
        <w:t>cations</w:t>
      </w:r>
      <w:proofErr w:type="gramEnd"/>
      <w:r w:rsidRPr="00A12280">
        <w:rPr>
          <w:b/>
          <w:i/>
        </w:rPr>
        <w:t xml:space="preserve"> and</w:t>
      </w:r>
      <w:r w:rsidR="00A12280" w:rsidRPr="00A12280">
        <w:rPr>
          <w:b/>
          <w:i/>
        </w:rPr>
        <w:t xml:space="preserve"> </w:t>
      </w:r>
      <w:r w:rsidRPr="00A12280">
        <w:rPr>
          <w:b/>
          <w:i/>
        </w:rPr>
        <w:t>accreditations</w:t>
      </w:r>
    </w:p>
    <w:p w14:paraId="342E96D7" w14:textId="77777777" w:rsidR="00461922" w:rsidRDefault="00461922" w:rsidP="00461922">
      <w:r>
        <w:t>The global requirement under sections 72, 89 and 97 that the Regulator provide</w:t>
      </w:r>
      <w:r w:rsidR="00A12280">
        <w:t xml:space="preserve"> </w:t>
      </w:r>
      <w:r>
        <w:t>formal written notice to a licence holder when a variation to the licence is proposed</w:t>
      </w:r>
      <w:r w:rsidR="00A12280">
        <w:t xml:space="preserve"> </w:t>
      </w:r>
      <w:r>
        <w:t>by the Regulator is ill suited to minor variations and/or variations which do not</w:t>
      </w:r>
      <w:r w:rsidR="00A12280">
        <w:t xml:space="preserve"> </w:t>
      </w:r>
      <w:r>
        <w:t xml:space="preserve">carry natural justice </w:t>
      </w:r>
      <w:r>
        <w:lastRenderedPageBreak/>
        <w:t>implications. This obliges the arguably unnecessary application</w:t>
      </w:r>
      <w:r w:rsidR="00A12280">
        <w:t xml:space="preserve"> </w:t>
      </w:r>
      <w:r>
        <w:t>of resources. Consideration should be gi</w:t>
      </w:r>
      <w:r w:rsidR="00A12280">
        <w:t>ven to identifying more specifi</w:t>
      </w:r>
      <w:r>
        <w:t>cally in the</w:t>
      </w:r>
      <w:r w:rsidR="00A12280">
        <w:t xml:space="preserve"> </w:t>
      </w:r>
      <w:r>
        <w:t>legislation circumstances in which notice would/would not be required.</w:t>
      </w:r>
    </w:p>
    <w:p w14:paraId="7A5D859A" w14:textId="77777777" w:rsidR="00461922" w:rsidRPr="00A12280" w:rsidRDefault="00461922" w:rsidP="00461922">
      <w:pPr>
        <w:rPr>
          <w:b/>
          <w:i/>
        </w:rPr>
      </w:pPr>
      <w:r w:rsidRPr="00A12280">
        <w:rPr>
          <w:b/>
          <w:i/>
        </w:rPr>
        <w:t>Tr</w:t>
      </w:r>
      <w:r w:rsidR="00A12280" w:rsidRPr="00A12280">
        <w:rPr>
          <w:b/>
          <w:i/>
        </w:rPr>
        <w:t>ansfer of Certifi</w:t>
      </w:r>
      <w:r w:rsidRPr="00A12280">
        <w:rPr>
          <w:b/>
          <w:i/>
        </w:rPr>
        <w:t>cations</w:t>
      </w:r>
    </w:p>
    <w:p w14:paraId="70DB5A6E" w14:textId="77777777" w:rsidR="00461922" w:rsidRDefault="00461922" w:rsidP="00461922">
      <w:r>
        <w:t>There is currently no provision allowin</w:t>
      </w:r>
      <w:r w:rsidR="00A12280">
        <w:t>g for the transfer of a certifi</w:t>
      </w:r>
      <w:r>
        <w:t>cation from one</w:t>
      </w:r>
      <w:r w:rsidR="00A12280">
        <w:t xml:space="preserve"> certification</w:t>
      </w:r>
      <w:r>
        <w:t xml:space="preserve"> holder to another. It is recommended that relevant provisions be included.</w:t>
      </w:r>
    </w:p>
    <w:p w14:paraId="2A2926F9" w14:textId="77777777" w:rsidR="00461922" w:rsidRPr="00A12280" w:rsidRDefault="00461922" w:rsidP="00461922">
      <w:pPr>
        <w:rPr>
          <w:b/>
          <w:i/>
        </w:rPr>
      </w:pPr>
      <w:r w:rsidRPr="00A12280">
        <w:rPr>
          <w:b/>
          <w:i/>
        </w:rPr>
        <w:t>Section 92 — Accreditation of organisations using host IBCs</w:t>
      </w:r>
    </w:p>
    <w:p w14:paraId="07C8DF6C" w14:textId="77777777" w:rsidR="00461922" w:rsidRDefault="00461922" w:rsidP="00461922">
      <w:r>
        <w:t>There is no express provision in the Act for the accreditation of organisations</w:t>
      </w:r>
      <w:r w:rsidR="00A12280">
        <w:t xml:space="preserve"> </w:t>
      </w:r>
      <w:r>
        <w:t>proposing to use the IBC of another accredited organisation. In practice, the Office</w:t>
      </w:r>
      <w:r w:rsidR="00A12280">
        <w:t xml:space="preserve"> </w:t>
      </w:r>
      <w:r>
        <w:t>offers accreditation to these entities by recognising an intention to use another IBC in</w:t>
      </w:r>
      <w:r w:rsidR="00A12280">
        <w:t xml:space="preserve"> </w:t>
      </w:r>
      <w:r>
        <w:t>guidelines issued under section 98. The intention to use host IBCs consequently becomes</w:t>
      </w:r>
      <w:r w:rsidR="00A12280">
        <w:t xml:space="preserve"> </w:t>
      </w:r>
      <w:r>
        <w:t>a matter to which the Regulator must have regard pursuant to paragraph 92(2)(d).</w:t>
      </w:r>
    </w:p>
    <w:p w14:paraId="402FF838" w14:textId="77777777" w:rsidR="00461922" w:rsidRDefault="00461922" w:rsidP="00461922">
      <w:r>
        <w:t>It is recommended that a better approach is to include a capacity to use a host IBC as</w:t>
      </w:r>
      <w:r w:rsidR="00A12280">
        <w:t xml:space="preserve"> </w:t>
      </w:r>
      <w:r>
        <w:t>an express matter to which the Regulator must have regard under section 92.</w:t>
      </w:r>
    </w:p>
    <w:p w14:paraId="0B5248D9" w14:textId="77777777" w:rsidR="00A12280" w:rsidRPr="00A12280" w:rsidRDefault="00A12280" w:rsidP="00A12280">
      <w:pPr>
        <w:rPr>
          <w:b/>
          <w:i/>
        </w:rPr>
      </w:pPr>
      <w:r w:rsidRPr="00A12280">
        <w:rPr>
          <w:b/>
          <w:i/>
        </w:rPr>
        <w:t>Section 92 — Definition of IBC under section 10 and implications for operation of section 92</w:t>
      </w:r>
    </w:p>
    <w:p w14:paraId="6EC171C3" w14:textId="77777777" w:rsidR="00A12280" w:rsidRDefault="00A12280" w:rsidP="00A12280">
      <w:r>
        <w:t>Under section 10 an IBC ‘means a committee established by an accredited organisation as an IBC’.</w:t>
      </w:r>
    </w:p>
    <w:p w14:paraId="0E364A3E" w14:textId="77777777" w:rsidR="00A12280" w:rsidRDefault="00A12280" w:rsidP="00A12280">
      <w:r>
        <w:t xml:space="preserve">Paragraph 92(2) (a) requires the Regulator, in considering an application for accreditation, to have regard to whether the applicant organisation has established, or proposes to establish, an IBC. </w:t>
      </w:r>
      <w:proofErr w:type="gramStart"/>
      <w:r>
        <w:t>However</w:t>
      </w:r>
      <w:proofErr w:type="gramEnd"/>
      <w:r>
        <w:t xml:space="preserve"> the definition of IBC effectively means that an organisation cannot have an ‘established’ IBC at the time of application because it is unaccredited. Administering the provision is further confused by the requirement that the Regulator have regard to ‘proposals’ to establish an IBC.</w:t>
      </w:r>
    </w:p>
    <w:p w14:paraId="53CADE80" w14:textId="35A96C23" w:rsidR="00E70AE3" w:rsidRDefault="00A12280" w:rsidP="00A12280">
      <w:r>
        <w:t xml:space="preserve">The preferred option of the office is that an applicant for accreditation have established, or in place, a committee capable of being described as an IBC under the legislation once accredited, and that section 92 not contemplate accreditation being given </w:t>
      </w:r>
      <w:proofErr w:type="gramStart"/>
      <w:r>
        <w:t>on the basis of</w:t>
      </w:r>
      <w:proofErr w:type="gramEnd"/>
      <w:r>
        <w:t xml:space="preserve"> proposals to have a requisite committee in place in the future. In other words, the committee capable of acquiring status as an IBC under the Act should be in place before an organisation considers applying for accreditation.</w:t>
      </w:r>
    </w:p>
    <w:p w14:paraId="69FE270F" w14:textId="431B7877" w:rsidR="00A12280" w:rsidRPr="00180D4F" w:rsidRDefault="00A12280" w:rsidP="00A12280">
      <w:pPr>
        <w:rPr>
          <w:b/>
          <w:i/>
        </w:rPr>
      </w:pPr>
      <w:r w:rsidRPr="00180D4F">
        <w:rPr>
          <w:b/>
          <w:i/>
        </w:rPr>
        <w:t>Section 78 — Register</w:t>
      </w:r>
    </w:p>
    <w:p w14:paraId="562D578B" w14:textId="77777777" w:rsidR="00A12280" w:rsidRDefault="00A12280" w:rsidP="00A12280">
      <w:r>
        <w:t>Subsection 78(3) prevents the Regulator from giving effect to a determination that</w:t>
      </w:r>
      <w:r w:rsidR="00180D4F">
        <w:t xml:space="preserve"> </w:t>
      </w:r>
      <w:r>
        <w:t>a dealing be placed on the register if a licence is still in force. A dealing conducted</w:t>
      </w:r>
      <w:r w:rsidR="00180D4F">
        <w:t xml:space="preserve"> </w:t>
      </w:r>
      <w:r>
        <w:t>in the period between cancellation or surrender of a licence and registration of the</w:t>
      </w:r>
      <w:r w:rsidR="00180D4F">
        <w:t xml:space="preserve"> </w:t>
      </w:r>
      <w:r>
        <w:t>relevant dealing would be rendered unlicensed and therefore illegal. The problem can</w:t>
      </w:r>
      <w:r w:rsidR="00180D4F">
        <w:t xml:space="preserve"> </w:t>
      </w:r>
      <w:r>
        <w:t>be overcome by the Regulator stipulating a date on which the determination comes</w:t>
      </w:r>
      <w:r w:rsidR="00180D4F">
        <w:t xml:space="preserve"> </w:t>
      </w:r>
      <w:r>
        <w:t>into effect which coincides with a date of cancellation or surrender. But the better</w:t>
      </w:r>
      <w:r w:rsidR="00180D4F">
        <w:t xml:space="preserve"> </w:t>
      </w:r>
      <w:r>
        <w:t>option would be to make some express reference to the status of the dealing (</w:t>
      </w:r>
      <w:proofErr w:type="gramStart"/>
      <w:r>
        <w:t>e.g.</w:t>
      </w:r>
      <w:proofErr w:type="gramEnd"/>
      <w:r w:rsidR="00180D4F">
        <w:t xml:space="preserve"> </w:t>
      </w:r>
      <w:r>
        <w:t>deeming the dealing authorised) in the intervening period between cancellation or</w:t>
      </w:r>
      <w:r w:rsidR="00180D4F">
        <w:t xml:space="preserve"> </w:t>
      </w:r>
      <w:r>
        <w:t>surrender of a licence and the registration of the relevant dealing.</w:t>
      </w:r>
    </w:p>
    <w:p w14:paraId="24845B52" w14:textId="77777777" w:rsidR="00A12280" w:rsidRPr="00180D4F" w:rsidRDefault="00A12280" w:rsidP="00A12280">
      <w:pPr>
        <w:rPr>
          <w:b/>
          <w:i/>
        </w:rPr>
      </w:pPr>
      <w:r w:rsidRPr="00180D4F">
        <w:rPr>
          <w:b/>
          <w:i/>
        </w:rPr>
        <w:t>Section182 — Out of time deemed rejection of applications</w:t>
      </w:r>
    </w:p>
    <w:p w14:paraId="04B01AE1" w14:textId="77777777" w:rsidR="00A12280" w:rsidRDefault="00A12280" w:rsidP="00A12280">
      <w:r>
        <w:t>Section 182 deems an application rejected if a decision has not been made in time.</w:t>
      </w:r>
    </w:p>
    <w:p w14:paraId="7303E527" w14:textId="77777777" w:rsidR="00A12280" w:rsidRDefault="00A12280" w:rsidP="00A12280">
      <w:r>
        <w:lastRenderedPageBreak/>
        <w:t xml:space="preserve">It is unclear whether deemed rejections are </w:t>
      </w:r>
      <w:r w:rsidR="00180D4F">
        <w:t>appealable</w:t>
      </w:r>
      <w:r>
        <w:t xml:space="preserve"> decisions for purposes of</w:t>
      </w:r>
      <w:r w:rsidR="00180D4F">
        <w:t xml:space="preserve"> </w:t>
      </w:r>
      <w:r>
        <w:t>section 179, and if so, whether they are reviewable internally or by the AAT. We</w:t>
      </w:r>
      <w:r w:rsidR="00180D4F">
        <w:t xml:space="preserve"> </w:t>
      </w:r>
      <w:r>
        <w:t>recommend that this position be clarified by amendments to the provision.</w:t>
      </w:r>
    </w:p>
    <w:p w14:paraId="777B0AF1" w14:textId="77777777" w:rsidR="00180D4F" w:rsidRPr="00180D4F" w:rsidRDefault="00180D4F" w:rsidP="00180D4F">
      <w:pPr>
        <w:rPr>
          <w:b/>
          <w:i/>
        </w:rPr>
      </w:pPr>
      <w:r w:rsidRPr="00180D4F">
        <w:rPr>
          <w:b/>
          <w:i/>
        </w:rPr>
        <w:t>Section 185 — Confidential Commercial Information</w:t>
      </w:r>
    </w:p>
    <w:p w14:paraId="465FB078" w14:textId="77777777" w:rsidR="00180D4F" w:rsidRDefault="00180D4F" w:rsidP="00180D4F">
      <w:r>
        <w:t>Under section 10 ‘confidential commercial information’ currently means information declared by the Regulator to be confidential commercial information under section 185. As a result, there is currently no express protection from release under s 54 for applications for CCI as opposed to declared CCI and only release of declared CCI would attract a criminal penalty so release of undeclared but potential CCI can occur with immunity.</w:t>
      </w:r>
    </w:p>
    <w:p w14:paraId="6001BB3E" w14:textId="77777777" w:rsidR="00180D4F" w:rsidRDefault="00180D4F" w:rsidP="00180D4F">
      <w:r>
        <w:t xml:space="preserve">It is recommended that the definition be amended, </w:t>
      </w:r>
      <w:proofErr w:type="gramStart"/>
      <w:r>
        <w:t>e.g.</w:t>
      </w:r>
      <w:proofErr w:type="gramEnd"/>
      <w:r>
        <w:t xml:space="preserve"> as follows:</w:t>
      </w:r>
    </w:p>
    <w:p w14:paraId="3D791696" w14:textId="77777777" w:rsidR="00180D4F" w:rsidRDefault="00180D4F" w:rsidP="00180D4F">
      <w:r>
        <w:t>‘Confidential commercial information’ means</w:t>
      </w:r>
    </w:p>
    <w:p w14:paraId="696442E5" w14:textId="77777777" w:rsidR="00180D4F" w:rsidRDefault="00180D4F" w:rsidP="00180D4F">
      <w:r>
        <w:t>(a) information declared by the Regulator to be confidential commercial information under section 185 and/or,</w:t>
      </w:r>
    </w:p>
    <w:p w14:paraId="46673331" w14:textId="77777777" w:rsidR="00180D4F" w:rsidRDefault="00180D4F" w:rsidP="00180D4F">
      <w:r>
        <w:t xml:space="preserve">(b) information which is the subject of an application for a declaration that information is confidential commercial information under section 185 but on which the Regulator has yet to </w:t>
      </w:r>
      <w:proofErr w:type="gramStart"/>
      <w:r>
        <w:t>make a decision</w:t>
      </w:r>
      <w:proofErr w:type="gramEnd"/>
      <w:r>
        <w:t>.</w:t>
      </w:r>
    </w:p>
    <w:p w14:paraId="0023BD24" w14:textId="77777777" w:rsidR="004C22D2" w:rsidRDefault="004C22D2">
      <w:r>
        <w:br w:type="page"/>
      </w:r>
    </w:p>
    <w:p w14:paraId="761BB57D" w14:textId="3470D916" w:rsidR="00180D4F" w:rsidRPr="00837803" w:rsidRDefault="005B0F51" w:rsidP="00837803">
      <w:pPr>
        <w:pStyle w:val="Heading1"/>
      </w:pPr>
      <w:bookmarkStart w:id="91" w:name="_Toc95326325"/>
      <w:r w:rsidRPr="00837803">
        <w:lastRenderedPageBreak/>
        <w:t>Appendix 8</w:t>
      </w:r>
      <w:bookmarkEnd w:id="91"/>
    </w:p>
    <w:p w14:paraId="642ED16E" w14:textId="77777777" w:rsidR="004C22D2" w:rsidRPr="009B0C49" w:rsidRDefault="009B0C49" w:rsidP="00CF081F">
      <w:pPr>
        <w:pStyle w:val="Heading2"/>
      </w:pPr>
      <w:bookmarkStart w:id="92" w:name="_Toc95326326"/>
      <w:r w:rsidRPr="009B0C49">
        <w:t>Regulation of gene technology in European community</w:t>
      </w:r>
      <w:bookmarkEnd w:id="92"/>
    </w:p>
    <w:p w14:paraId="732549C4" w14:textId="77777777" w:rsidR="009B0C49" w:rsidRDefault="009B0C49" w:rsidP="004C22D2">
      <w:r>
        <w:rPr>
          <w:noProof/>
          <w:lang w:eastAsia="en-AU"/>
        </w:rPr>
        <w:drawing>
          <wp:inline distT="0" distB="0" distL="0" distR="0" wp14:anchorId="2A6D7CBB" wp14:editId="4556DB37">
            <wp:extent cx="3962400" cy="7105650"/>
            <wp:effectExtent l="0" t="0" r="0" b="0"/>
            <wp:docPr id="203" name="Picture 203" descr="GMO regulation" title="Regulation of gene technology in European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62400" cy="7105650"/>
                    </a:xfrm>
                    <a:prstGeom prst="rect">
                      <a:avLst/>
                    </a:prstGeom>
                  </pic:spPr>
                </pic:pic>
              </a:graphicData>
            </a:graphic>
          </wp:inline>
        </w:drawing>
      </w:r>
    </w:p>
    <w:p w14:paraId="788BD81D" w14:textId="77777777" w:rsidR="009B0C49" w:rsidRDefault="009B0C49" w:rsidP="009B0C49">
      <w:r>
        <w:br w:type="page"/>
      </w:r>
    </w:p>
    <w:p w14:paraId="27EED0BD" w14:textId="77777777" w:rsidR="009B0C49" w:rsidRDefault="009B0C49" w:rsidP="004C22D2">
      <w:r>
        <w:rPr>
          <w:noProof/>
          <w:lang w:eastAsia="en-AU"/>
        </w:rPr>
        <w:lastRenderedPageBreak/>
        <w:drawing>
          <wp:inline distT="0" distB="0" distL="0" distR="0" wp14:anchorId="3024992F" wp14:editId="07156F81">
            <wp:extent cx="4486275" cy="7267575"/>
            <wp:effectExtent l="0" t="0" r="9525" b="9525"/>
            <wp:docPr id="204" name="Picture 204" descr="GMO Regulation" title="Regulation of gene technology in European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86275" cy="7267575"/>
                    </a:xfrm>
                    <a:prstGeom prst="rect">
                      <a:avLst/>
                    </a:prstGeom>
                  </pic:spPr>
                </pic:pic>
              </a:graphicData>
            </a:graphic>
          </wp:inline>
        </w:drawing>
      </w:r>
    </w:p>
    <w:p w14:paraId="0FCAB469" w14:textId="77777777" w:rsidR="009B0C49" w:rsidRDefault="009B0C49" w:rsidP="009B0C49">
      <w:r>
        <w:br w:type="page"/>
      </w:r>
    </w:p>
    <w:p w14:paraId="6E77DA23" w14:textId="77777777" w:rsidR="009B0C49" w:rsidRDefault="009B0C49" w:rsidP="004C22D2">
      <w:r>
        <w:rPr>
          <w:noProof/>
          <w:lang w:eastAsia="en-AU"/>
        </w:rPr>
        <w:lastRenderedPageBreak/>
        <w:drawing>
          <wp:inline distT="0" distB="0" distL="0" distR="0" wp14:anchorId="5C6349A8" wp14:editId="680D88CC">
            <wp:extent cx="4733925" cy="7219950"/>
            <wp:effectExtent l="0" t="0" r="9525" b="0"/>
            <wp:docPr id="205" name="Picture 205" descr="GMO and GM Regulators" title="Regulation of gene technology in European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33925" cy="7219950"/>
                    </a:xfrm>
                    <a:prstGeom prst="rect">
                      <a:avLst/>
                    </a:prstGeom>
                  </pic:spPr>
                </pic:pic>
              </a:graphicData>
            </a:graphic>
          </wp:inline>
        </w:drawing>
      </w:r>
    </w:p>
    <w:p w14:paraId="06F86130" w14:textId="77777777" w:rsidR="009B0C49" w:rsidRDefault="009B0C49" w:rsidP="009B0C49">
      <w:r>
        <w:br w:type="page"/>
      </w:r>
    </w:p>
    <w:p w14:paraId="01B51448" w14:textId="77777777" w:rsidR="009B0C49" w:rsidRDefault="009B0C49" w:rsidP="004C22D2">
      <w:r>
        <w:rPr>
          <w:noProof/>
          <w:lang w:eastAsia="en-AU"/>
        </w:rPr>
        <w:lastRenderedPageBreak/>
        <w:drawing>
          <wp:inline distT="0" distB="0" distL="0" distR="0" wp14:anchorId="6A45E0FC" wp14:editId="15D50C73">
            <wp:extent cx="4391025" cy="7153275"/>
            <wp:effectExtent l="0" t="0" r="9525" b="9525"/>
            <wp:docPr id="206" name="Picture 206" descr="Gmo and Gm regulators" title="Regulation of gene technology in European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91025" cy="7153275"/>
                    </a:xfrm>
                    <a:prstGeom prst="rect">
                      <a:avLst/>
                    </a:prstGeom>
                  </pic:spPr>
                </pic:pic>
              </a:graphicData>
            </a:graphic>
          </wp:inline>
        </w:drawing>
      </w:r>
    </w:p>
    <w:p w14:paraId="1AD7B738" w14:textId="77777777" w:rsidR="009B0C49" w:rsidRDefault="009B0C49" w:rsidP="009B0C49">
      <w:r>
        <w:br w:type="page"/>
      </w:r>
    </w:p>
    <w:p w14:paraId="609CA780" w14:textId="77777777" w:rsidR="009B0C49" w:rsidRDefault="009B0C49" w:rsidP="004C22D2">
      <w:r>
        <w:rPr>
          <w:noProof/>
          <w:lang w:eastAsia="en-AU"/>
        </w:rPr>
        <w:lastRenderedPageBreak/>
        <w:drawing>
          <wp:inline distT="0" distB="0" distL="0" distR="0" wp14:anchorId="294B56A5" wp14:editId="4A47BAA1">
            <wp:extent cx="4324350" cy="7029450"/>
            <wp:effectExtent l="0" t="0" r="0" b="0"/>
            <wp:docPr id="207" name="Picture 207" descr="GMO and Gm regulators" title="Regulation of gene technology in European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24350" cy="7029450"/>
                    </a:xfrm>
                    <a:prstGeom prst="rect">
                      <a:avLst/>
                    </a:prstGeom>
                  </pic:spPr>
                </pic:pic>
              </a:graphicData>
            </a:graphic>
          </wp:inline>
        </w:drawing>
      </w:r>
    </w:p>
    <w:p w14:paraId="74D2C744" w14:textId="77777777" w:rsidR="009B0C49" w:rsidRDefault="009B0C49" w:rsidP="009B0C49">
      <w:r>
        <w:br w:type="page"/>
      </w:r>
    </w:p>
    <w:p w14:paraId="55337FE0" w14:textId="77777777" w:rsidR="009B0C49" w:rsidRDefault="009B0C49" w:rsidP="004C22D2">
      <w:r>
        <w:rPr>
          <w:noProof/>
          <w:lang w:eastAsia="en-AU"/>
        </w:rPr>
        <w:lastRenderedPageBreak/>
        <w:drawing>
          <wp:inline distT="0" distB="0" distL="0" distR="0" wp14:anchorId="3CCF7F4A" wp14:editId="7F531AB0">
            <wp:extent cx="4371975" cy="7058025"/>
            <wp:effectExtent l="0" t="0" r="9525" b="9525"/>
            <wp:docPr id="208" name="Picture 208" descr="GMO and GM Regulators" title="Regulation of gene technology in European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71975" cy="7058025"/>
                    </a:xfrm>
                    <a:prstGeom prst="rect">
                      <a:avLst/>
                    </a:prstGeom>
                  </pic:spPr>
                </pic:pic>
              </a:graphicData>
            </a:graphic>
          </wp:inline>
        </w:drawing>
      </w:r>
    </w:p>
    <w:p w14:paraId="33BD9E1A" w14:textId="77777777" w:rsidR="009B0C49" w:rsidRDefault="009B0C49" w:rsidP="009B0C49">
      <w:r>
        <w:br w:type="page"/>
      </w:r>
    </w:p>
    <w:p w14:paraId="0C670A3D" w14:textId="77777777" w:rsidR="009B0C49" w:rsidRDefault="009B0C49" w:rsidP="004C22D2">
      <w:r>
        <w:rPr>
          <w:noProof/>
          <w:lang w:eastAsia="en-AU"/>
        </w:rPr>
        <w:lastRenderedPageBreak/>
        <w:drawing>
          <wp:inline distT="0" distB="0" distL="0" distR="0" wp14:anchorId="3233C5DA" wp14:editId="073A160A">
            <wp:extent cx="4619625" cy="7105650"/>
            <wp:effectExtent l="0" t="0" r="9525" b="0"/>
            <wp:docPr id="209" name="Picture 209" descr="GMO and GM regulators" title="Regulation of gene technology in European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19625" cy="7105650"/>
                    </a:xfrm>
                    <a:prstGeom prst="rect">
                      <a:avLst/>
                    </a:prstGeom>
                  </pic:spPr>
                </pic:pic>
              </a:graphicData>
            </a:graphic>
          </wp:inline>
        </w:drawing>
      </w:r>
    </w:p>
    <w:p w14:paraId="680081E0" w14:textId="77777777" w:rsidR="009B0C49" w:rsidRDefault="009B0C49" w:rsidP="009B0C49">
      <w:r>
        <w:br w:type="page"/>
      </w:r>
    </w:p>
    <w:p w14:paraId="768365A8" w14:textId="77777777" w:rsidR="009B0C49" w:rsidRDefault="009B0C49" w:rsidP="004C22D2">
      <w:r>
        <w:rPr>
          <w:noProof/>
          <w:lang w:eastAsia="en-AU"/>
        </w:rPr>
        <w:lastRenderedPageBreak/>
        <w:drawing>
          <wp:inline distT="0" distB="0" distL="0" distR="0" wp14:anchorId="5A6C28F1" wp14:editId="026B7EF2">
            <wp:extent cx="4991100" cy="7058025"/>
            <wp:effectExtent l="0" t="0" r="0" b="9525"/>
            <wp:docPr id="210" name="Picture 210" descr="GMO and GM Regulators" title="Regulation of gene technology in European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91100" cy="7058025"/>
                    </a:xfrm>
                    <a:prstGeom prst="rect">
                      <a:avLst/>
                    </a:prstGeom>
                  </pic:spPr>
                </pic:pic>
              </a:graphicData>
            </a:graphic>
          </wp:inline>
        </w:drawing>
      </w:r>
    </w:p>
    <w:p w14:paraId="29DFE4D4" w14:textId="77777777" w:rsidR="009B0C49" w:rsidRDefault="009B0C49" w:rsidP="009B0C49">
      <w:r>
        <w:br w:type="page"/>
      </w:r>
    </w:p>
    <w:p w14:paraId="0D5A6A2B" w14:textId="77777777" w:rsidR="009B0C49" w:rsidRDefault="009B0C49" w:rsidP="004C22D2">
      <w:r>
        <w:rPr>
          <w:noProof/>
          <w:lang w:eastAsia="en-AU"/>
        </w:rPr>
        <w:lastRenderedPageBreak/>
        <w:drawing>
          <wp:inline distT="0" distB="0" distL="0" distR="0" wp14:anchorId="70F1B1C6" wp14:editId="033DEB0D">
            <wp:extent cx="5076825" cy="7029450"/>
            <wp:effectExtent l="0" t="0" r="9525" b="0"/>
            <wp:docPr id="211" name="Picture 211" descr="GMO and GM regulators" title="Regulation of gene technology in European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76825" cy="7029450"/>
                    </a:xfrm>
                    <a:prstGeom prst="rect">
                      <a:avLst/>
                    </a:prstGeom>
                  </pic:spPr>
                </pic:pic>
              </a:graphicData>
            </a:graphic>
          </wp:inline>
        </w:drawing>
      </w:r>
    </w:p>
    <w:p w14:paraId="60A79C3B" w14:textId="77777777" w:rsidR="009B0C49" w:rsidRDefault="009B0C49" w:rsidP="009B0C49">
      <w:r>
        <w:br w:type="page"/>
      </w:r>
    </w:p>
    <w:p w14:paraId="19216E82" w14:textId="77777777" w:rsidR="009B0C49" w:rsidRDefault="009B0C49" w:rsidP="004C22D2">
      <w:r>
        <w:rPr>
          <w:noProof/>
          <w:lang w:eastAsia="en-AU"/>
        </w:rPr>
        <w:lastRenderedPageBreak/>
        <w:drawing>
          <wp:inline distT="0" distB="0" distL="0" distR="0" wp14:anchorId="796F0E56" wp14:editId="3485F76D">
            <wp:extent cx="4467225" cy="7058025"/>
            <wp:effectExtent l="0" t="0" r="9525" b="9525"/>
            <wp:docPr id="212" name="Picture 212" descr="GMO and GM regulators" title="Regulation of gene technology in European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67225" cy="7058025"/>
                    </a:xfrm>
                    <a:prstGeom prst="rect">
                      <a:avLst/>
                    </a:prstGeom>
                  </pic:spPr>
                </pic:pic>
              </a:graphicData>
            </a:graphic>
          </wp:inline>
        </w:drawing>
      </w:r>
    </w:p>
    <w:p w14:paraId="32993A5C" w14:textId="77777777" w:rsidR="009B0C49" w:rsidRDefault="009B0C49" w:rsidP="009B0C49">
      <w:r>
        <w:br w:type="page"/>
      </w:r>
    </w:p>
    <w:p w14:paraId="3B6099B0" w14:textId="77777777" w:rsidR="009B0C49" w:rsidRDefault="009B0C49" w:rsidP="004C22D2"/>
    <w:p w14:paraId="03F4CC9C" w14:textId="77777777" w:rsidR="009B0C49" w:rsidRDefault="009B0C49" w:rsidP="004C22D2">
      <w:r>
        <w:rPr>
          <w:noProof/>
          <w:lang w:eastAsia="en-AU"/>
        </w:rPr>
        <w:drawing>
          <wp:inline distT="0" distB="0" distL="0" distR="0" wp14:anchorId="1271D6A9" wp14:editId="3444BE81">
            <wp:extent cx="4305300" cy="6943725"/>
            <wp:effectExtent l="0" t="0" r="0" b="9525"/>
            <wp:docPr id="213" name="Picture 213" descr="GMO and GM regulators" title="Regulation of gene technology in European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05300" cy="6943725"/>
                    </a:xfrm>
                    <a:prstGeom prst="rect">
                      <a:avLst/>
                    </a:prstGeom>
                  </pic:spPr>
                </pic:pic>
              </a:graphicData>
            </a:graphic>
          </wp:inline>
        </w:drawing>
      </w:r>
    </w:p>
    <w:p w14:paraId="615A1DB7" w14:textId="77777777" w:rsidR="009B0C49" w:rsidRDefault="009B0C49" w:rsidP="009B0C49">
      <w:r>
        <w:br w:type="page"/>
      </w:r>
    </w:p>
    <w:p w14:paraId="5932D34A" w14:textId="77777777" w:rsidR="009B0C49" w:rsidRDefault="009B0C49" w:rsidP="004C22D2">
      <w:r>
        <w:rPr>
          <w:noProof/>
          <w:lang w:eastAsia="en-AU"/>
        </w:rPr>
        <w:lastRenderedPageBreak/>
        <w:drawing>
          <wp:inline distT="0" distB="0" distL="0" distR="0" wp14:anchorId="4C4D1BAD" wp14:editId="452B9A42">
            <wp:extent cx="1924050" cy="7038975"/>
            <wp:effectExtent l="0" t="0" r="0" b="9525"/>
            <wp:docPr id="214" name="Picture 214" descr="GMO and Gm Regulators" title="Regulation of gene technology in European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24050" cy="7038975"/>
                    </a:xfrm>
                    <a:prstGeom prst="rect">
                      <a:avLst/>
                    </a:prstGeom>
                  </pic:spPr>
                </pic:pic>
              </a:graphicData>
            </a:graphic>
          </wp:inline>
        </w:drawing>
      </w:r>
    </w:p>
    <w:p w14:paraId="0DE0A79C" w14:textId="77777777" w:rsidR="009B0C49" w:rsidRDefault="009B0C49" w:rsidP="009B0C49">
      <w:r>
        <w:br w:type="page"/>
      </w:r>
    </w:p>
    <w:p w14:paraId="7E8ACA75" w14:textId="66365D6E" w:rsidR="004C22D2" w:rsidRDefault="00AE7DA7" w:rsidP="00CA6192">
      <w:pPr>
        <w:pStyle w:val="Heading2"/>
      </w:pPr>
      <w:bookmarkStart w:id="93" w:name="_Toc95326327"/>
      <w:r w:rsidRPr="009B0C49">
        <w:lastRenderedPageBreak/>
        <w:t xml:space="preserve">Regulation of gene technology in </w:t>
      </w:r>
      <w:r>
        <w:t>N</w:t>
      </w:r>
      <w:r w:rsidRPr="009B0C49">
        <w:t xml:space="preserve">ew </w:t>
      </w:r>
      <w:r>
        <w:t>Z</w:t>
      </w:r>
      <w:r w:rsidRPr="009B0C49">
        <w:t>ealand</w:t>
      </w:r>
      <w:bookmarkEnd w:id="93"/>
    </w:p>
    <w:p w14:paraId="2D85F2F3" w14:textId="77777777" w:rsidR="009B0C49" w:rsidRDefault="009B0C49" w:rsidP="009B0C49">
      <w:r>
        <w:rPr>
          <w:noProof/>
          <w:lang w:eastAsia="en-AU"/>
        </w:rPr>
        <w:drawing>
          <wp:inline distT="0" distB="0" distL="0" distR="0" wp14:anchorId="34C9AAB9" wp14:editId="6128A735">
            <wp:extent cx="4095750" cy="7010400"/>
            <wp:effectExtent l="0" t="0" r="0" b="0"/>
            <wp:docPr id="215" name="Picture 215" descr="Regulation of gene technology in New Zealand&#10;&#10;GMO and Gm regul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Regulation of gene technology in New Zealand&#10;&#10;GMO and Gm regulators"/>
                    <pic:cNvPicPr/>
                  </pic:nvPicPr>
                  <pic:blipFill>
                    <a:blip r:embed="rId36"/>
                    <a:stretch>
                      <a:fillRect/>
                    </a:stretch>
                  </pic:blipFill>
                  <pic:spPr>
                    <a:xfrm>
                      <a:off x="0" y="0"/>
                      <a:ext cx="4095750" cy="7010400"/>
                    </a:xfrm>
                    <a:prstGeom prst="rect">
                      <a:avLst/>
                    </a:prstGeom>
                  </pic:spPr>
                </pic:pic>
              </a:graphicData>
            </a:graphic>
          </wp:inline>
        </w:drawing>
      </w:r>
    </w:p>
    <w:p w14:paraId="06C62547" w14:textId="77777777" w:rsidR="009B0C49" w:rsidRDefault="009B0C49" w:rsidP="009B0C49">
      <w:r>
        <w:br w:type="page"/>
      </w:r>
    </w:p>
    <w:p w14:paraId="7A90D5D4" w14:textId="77777777" w:rsidR="009B0C49" w:rsidRDefault="009B0C49" w:rsidP="009B0C49">
      <w:r>
        <w:rPr>
          <w:noProof/>
          <w:lang w:eastAsia="en-AU"/>
        </w:rPr>
        <w:lastRenderedPageBreak/>
        <w:drawing>
          <wp:inline distT="0" distB="0" distL="0" distR="0" wp14:anchorId="2637C469" wp14:editId="6CD0EA12">
            <wp:extent cx="4922874" cy="8329276"/>
            <wp:effectExtent l="0" t="0" r="0" b="0"/>
            <wp:docPr id="216" name="Picture 216" descr="Regulation of gene technology in New Zealand&#10;&#10;Gmo and Gm regul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Regulation of gene technology in New Zealand&#10;&#10;Gmo and Gm regulators"/>
                    <pic:cNvPicPr/>
                  </pic:nvPicPr>
                  <pic:blipFill>
                    <a:blip r:embed="rId37"/>
                    <a:stretch>
                      <a:fillRect/>
                    </a:stretch>
                  </pic:blipFill>
                  <pic:spPr>
                    <a:xfrm>
                      <a:off x="0" y="0"/>
                      <a:ext cx="4924726" cy="8332409"/>
                    </a:xfrm>
                    <a:prstGeom prst="rect">
                      <a:avLst/>
                    </a:prstGeom>
                  </pic:spPr>
                </pic:pic>
              </a:graphicData>
            </a:graphic>
          </wp:inline>
        </w:drawing>
      </w:r>
    </w:p>
    <w:p w14:paraId="21681955" w14:textId="77777777" w:rsidR="009B0C49" w:rsidRDefault="009B0C49" w:rsidP="009B0C49">
      <w:r>
        <w:br w:type="page"/>
      </w:r>
    </w:p>
    <w:p w14:paraId="31A09A56" w14:textId="77777777" w:rsidR="009B0C49" w:rsidRDefault="009B0C49" w:rsidP="009B0C49">
      <w:r>
        <w:rPr>
          <w:noProof/>
          <w:lang w:eastAsia="en-AU"/>
        </w:rPr>
        <w:lastRenderedPageBreak/>
        <w:drawing>
          <wp:inline distT="0" distB="0" distL="0" distR="0" wp14:anchorId="16A0BA3D" wp14:editId="038C1762">
            <wp:extent cx="5273749" cy="8224406"/>
            <wp:effectExtent l="0" t="0" r="3175" b="5715"/>
            <wp:docPr id="218" name="Picture 218" descr="Regulation of gene technology in New Zealand&#10;&#10;GMO and GM regul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Regulation of gene technology in New Zealand&#10;&#10;GMO and GM regulators"/>
                    <pic:cNvPicPr/>
                  </pic:nvPicPr>
                  <pic:blipFill>
                    <a:blip r:embed="rId38"/>
                    <a:stretch>
                      <a:fillRect/>
                    </a:stretch>
                  </pic:blipFill>
                  <pic:spPr>
                    <a:xfrm>
                      <a:off x="0" y="0"/>
                      <a:ext cx="5277332" cy="8229994"/>
                    </a:xfrm>
                    <a:prstGeom prst="rect">
                      <a:avLst/>
                    </a:prstGeom>
                  </pic:spPr>
                </pic:pic>
              </a:graphicData>
            </a:graphic>
          </wp:inline>
        </w:drawing>
      </w:r>
    </w:p>
    <w:p w14:paraId="794DA184" w14:textId="77777777" w:rsidR="00034BF9" w:rsidRDefault="00034BF9">
      <w:r>
        <w:br w:type="page"/>
      </w:r>
    </w:p>
    <w:p w14:paraId="323A41B6" w14:textId="77777777" w:rsidR="00034BF9" w:rsidRDefault="00034BF9" w:rsidP="009B0C49">
      <w:r>
        <w:rPr>
          <w:noProof/>
          <w:lang w:eastAsia="en-AU"/>
        </w:rPr>
        <w:lastRenderedPageBreak/>
        <w:drawing>
          <wp:inline distT="0" distB="0" distL="0" distR="0" wp14:anchorId="6470F927" wp14:editId="631B3D88">
            <wp:extent cx="5061098" cy="7633131"/>
            <wp:effectExtent l="0" t="0" r="6350" b="6350"/>
            <wp:docPr id="219" name="Picture 219" descr="Regulation of gene technology in New Zealand&#10;&#10;GMO and Gm Regul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Regulation of gene technology in New Zealand&#10;&#10;GMO and Gm Regulators"/>
                    <pic:cNvPicPr/>
                  </pic:nvPicPr>
                  <pic:blipFill>
                    <a:blip r:embed="rId39"/>
                    <a:stretch>
                      <a:fillRect/>
                    </a:stretch>
                  </pic:blipFill>
                  <pic:spPr>
                    <a:xfrm>
                      <a:off x="0" y="0"/>
                      <a:ext cx="5062786" cy="7635676"/>
                    </a:xfrm>
                    <a:prstGeom prst="rect">
                      <a:avLst/>
                    </a:prstGeom>
                  </pic:spPr>
                </pic:pic>
              </a:graphicData>
            </a:graphic>
          </wp:inline>
        </w:drawing>
      </w:r>
    </w:p>
    <w:p w14:paraId="7FF7A739" w14:textId="77777777" w:rsidR="00034BF9" w:rsidRDefault="00034BF9" w:rsidP="00034BF9">
      <w:r>
        <w:br w:type="page"/>
      </w:r>
    </w:p>
    <w:p w14:paraId="5AD73A2E" w14:textId="77777777" w:rsidR="00034BF9" w:rsidRDefault="00034BF9" w:rsidP="009B0C49">
      <w:r>
        <w:rPr>
          <w:noProof/>
          <w:lang w:eastAsia="en-AU"/>
        </w:rPr>
        <w:lastRenderedPageBreak/>
        <w:drawing>
          <wp:inline distT="0" distB="0" distL="0" distR="0" wp14:anchorId="4336A49D" wp14:editId="570597A6">
            <wp:extent cx="2838450" cy="7219950"/>
            <wp:effectExtent l="0" t="0" r="0" b="0"/>
            <wp:docPr id="220" name="Picture 220" descr="Regulation of gene technology in New Zealand&#10;&#10;GMO and Gm Regul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Regulation of gene technology in New Zealand&#10;&#10;GMO and Gm Regulators"/>
                    <pic:cNvPicPr/>
                  </pic:nvPicPr>
                  <pic:blipFill>
                    <a:blip r:embed="rId40"/>
                    <a:stretch>
                      <a:fillRect/>
                    </a:stretch>
                  </pic:blipFill>
                  <pic:spPr>
                    <a:xfrm>
                      <a:off x="0" y="0"/>
                      <a:ext cx="2838450" cy="7219950"/>
                    </a:xfrm>
                    <a:prstGeom prst="rect">
                      <a:avLst/>
                    </a:prstGeom>
                  </pic:spPr>
                </pic:pic>
              </a:graphicData>
            </a:graphic>
          </wp:inline>
        </w:drawing>
      </w:r>
    </w:p>
    <w:p w14:paraId="0DDFD5F3" w14:textId="77777777" w:rsidR="00034BF9" w:rsidRDefault="00034BF9" w:rsidP="00034BF9">
      <w:r>
        <w:br w:type="page"/>
      </w:r>
    </w:p>
    <w:p w14:paraId="5F1F7995" w14:textId="77777777" w:rsidR="00034BF9" w:rsidRDefault="00034BF9" w:rsidP="009B0C49">
      <w:r>
        <w:rPr>
          <w:noProof/>
          <w:lang w:eastAsia="en-AU"/>
        </w:rPr>
        <w:lastRenderedPageBreak/>
        <w:drawing>
          <wp:inline distT="0" distB="0" distL="0" distR="0" wp14:anchorId="56B42624" wp14:editId="3010494B">
            <wp:extent cx="4162425" cy="7086600"/>
            <wp:effectExtent l="0" t="0" r="9525" b="0"/>
            <wp:docPr id="221" name="Picture 221" descr="Regulation of gene technology in New Zealand&#10;&#10;Gmo and Gm Regul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Regulation of gene technology in New Zealand&#10;&#10;Gmo and Gm Regulators"/>
                    <pic:cNvPicPr/>
                  </pic:nvPicPr>
                  <pic:blipFill>
                    <a:blip r:embed="rId41"/>
                    <a:stretch>
                      <a:fillRect/>
                    </a:stretch>
                  </pic:blipFill>
                  <pic:spPr>
                    <a:xfrm>
                      <a:off x="0" y="0"/>
                      <a:ext cx="4162425" cy="7086600"/>
                    </a:xfrm>
                    <a:prstGeom prst="rect">
                      <a:avLst/>
                    </a:prstGeom>
                  </pic:spPr>
                </pic:pic>
              </a:graphicData>
            </a:graphic>
          </wp:inline>
        </w:drawing>
      </w:r>
    </w:p>
    <w:p w14:paraId="55882CB5" w14:textId="77777777" w:rsidR="00034BF9" w:rsidRDefault="00034BF9" w:rsidP="00034BF9">
      <w:r>
        <w:br w:type="page"/>
      </w:r>
    </w:p>
    <w:p w14:paraId="642804F4" w14:textId="77777777" w:rsidR="00034BF9" w:rsidRDefault="00034BF9" w:rsidP="009B0C49">
      <w:r>
        <w:rPr>
          <w:noProof/>
          <w:lang w:eastAsia="en-AU"/>
        </w:rPr>
        <w:lastRenderedPageBreak/>
        <w:drawing>
          <wp:inline distT="0" distB="0" distL="0" distR="0" wp14:anchorId="14E03566" wp14:editId="3E257DF8">
            <wp:extent cx="3609975" cy="7181850"/>
            <wp:effectExtent l="0" t="0" r="9525" b="0"/>
            <wp:docPr id="222" name="Picture 222" descr="Regulation of gene technology in New Zealand&#10;&#10;GMO and GM regul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Regulation of gene technology in New Zealand&#10;&#10;GMO and GM regulators"/>
                    <pic:cNvPicPr/>
                  </pic:nvPicPr>
                  <pic:blipFill>
                    <a:blip r:embed="rId42"/>
                    <a:stretch>
                      <a:fillRect/>
                    </a:stretch>
                  </pic:blipFill>
                  <pic:spPr>
                    <a:xfrm>
                      <a:off x="0" y="0"/>
                      <a:ext cx="3609975" cy="7181850"/>
                    </a:xfrm>
                    <a:prstGeom prst="rect">
                      <a:avLst/>
                    </a:prstGeom>
                  </pic:spPr>
                </pic:pic>
              </a:graphicData>
            </a:graphic>
          </wp:inline>
        </w:drawing>
      </w:r>
    </w:p>
    <w:p w14:paraId="6E52DF60" w14:textId="77777777" w:rsidR="00034BF9" w:rsidRDefault="00034BF9" w:rsidP="00034BF9">
      <w:r>
        <w:br w:type="page"/>
      </w:r>
    </w:p>
    <w:p w14:paraId="7C5064CD" w14:textId="77777777" w:rsidR="00034BF9" w:rsidRDefault="00034BF9" w:rsidP="009B0C49">
      <w:r>
        <w:rPr>
          <w:noProof/>
          <w:lang w:eastAsia="en-AU"/>
        </w:rPr>
        <w:lastRenderedPageBreak/>
        <w:drawing>
          <wp:inline distT="0" distB="0" distL="0" distR="0" wp14:anchorId="11CFFCBA" wp14:editId="23B12811">
            <wp:extent cx="3895725" cy="7143750"/>
            <wp:effectExtent l="0" t="0" r="9525" b="0"/>
            <wp:docPr id="223" name="Picture 223" descr="Regulation of gene technology in New Zealand&#10;&#10;GMO and GM regul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Regulation of gene technology in New Zealand&#10;&#10;GMO and GM regulators"/>
                    <pic:cNvPicPr/>
                  </pic:nvPicPr>
                  <pic:blipFill>
                    <a:blip r:embed="rId43"/>
                    <a:stretch>
                      <a:fillRect/>
                    </a:stretch>
                  </pic:blipFill>
                  <pic:spPr>
                    <a:xfrm>
                      <a:off x="0" y="0"/>
                      <a:ext cx="3895725" cy="7143750"/>
                    </a:xfrm>
                    <a:prstGeom prst="rect">
                      <a:avLst/>
                    </a:prstGeom>
                  </pic:spPr>
                </pic:pic>
              </a:graphicData>
            </a:graphic>
          </wp:inline>
        </w:drawing>
      </w:r>
    </w:p>
    <w:p w14:paraId="33380149" w14:textId="77777777" w:rsidR="00034BF9" w:rsidRDefault="00034BF9" w:rsidP="00034BF9">
      <w:r>
        <w:br w:type="page"/>
      </w:r>
    </w:p>
    <w:p w14:paraId="06962E41" w14:textId="77777777" w:rsidR="00034BF9" w:rsidRDefault="00034BF9" w:rsidP="009B0C49">
      <w:r>
        <w:rPr>
          <w:noProof/>
          <w:lang w:eastAsia="en-AU"/>
        </w:rPr>
        <w:lastRenderedPageBreak/>
        <w:drawing>
          <wp:inline distT="0" distB="0" distL="0" distR="0" wp14:anchorId="0EFEFE1E" wp14:editId="610DE543">
            <wp:extent cx="4572000" cy="7229475"/>
            <wp:effectExtent l="0" t="0" r="0" b="9525"/>
            <wp:docPr id="224" name="Picture 224" descr="Regulation of gene technology in New Zealand&#10;&#10;GMO and GM REgul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Regulation of gene technology in New Zealand&#10;&#10;GMO and GM REgulators"/>
                    <pic:cNvPicPr/>
                  </pic:nvPicPr>
                  <pic:blipFill>
                    <a:blip r:embed="rId44"/>
                    <a:stretch>
                      <a:fillRect/>
                    </a:stretch>
                  </pic:blipFill>
                  <pic:spPr>
                    <a:xfrm>
                      <a:off x="0" y="0"/>
                      <a:ext cx="4572000" cy="7229475"/>
                    </a:xfrm>
                    <a:prstGeom prst="rect">
                      <a:avLst/>
                    </a:prstGeom>
                  </pic:spPr>
                </pic:pic>
              </a:graphicData>
            </a:graphic>
          </wp:inline>
        </w:drawing>
      </w:r>
    </w:p>
    <w:p w14:paraId="4A793A32" w14:textId="77777777" w:rsidR="00034BF9" w:rsidRDefault="00034BF9" w:rsidP="00034BF9">
      <w:r>
        <w:br w:type="page"/>
      </w:r>
    </w:p>
    <w:p w14:paraId="27BA6E0D" w14:textId="34EFBDF6" w:rsidR="00034BF9" w:rsidRDefault="00A74D18" w:rsidP="00595AED">
      <w:pPr>
        <w:pStyle w:val="Heading2"/>
      </w:pPr>
      <w:bookmarkStart w:id="94" w:name="_Toc95326328"/>
      <w:r w:rsidRPr="00034BF9">
        <w:lastRenderedPageBreak/>
        <w:t xml:space="preserve">Regulation of gene technology in </w:t>
      </w:r>
      <w:r>
        <w:t>J</w:t>
      </w:r>
      <w:r w:rsidRPr="00034BF9">
        <w:t>apan</w:t>
      </w:r>
      <w:bookmarkEnd w:id="94"/>
    </w:p>
    <w:p w14:paraId="361CB30D" w14:textId="77777777" w:rsidR="00034BF9" w:rsidRDefault="00034BF9" w:rsidP="00034BF9">
      <w:r>
        <w:rPr>
          <w:noProof/>
          <w:lang w:eastAsia="en-AU"/>
        </w:rPr>
        <w:drawing>
          <wp:inline distT="0" distB="0" distL="0" distR="0" wp14:anchorId="076ACD96" wp14:editId="1CC585AB">
            <wp:extent cx="4306186" cy="7939197"/>
            <wp:effectExtent l="0" t="0" r="0" b="5080"/>
            <wp:docPr id="225" name="Picture 225" descr="Regulation of gene technology in Japan&#10;&#10;GMO and Gm Regul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Regulation of gene technology in Japan&#10;&#10;GMO and Gm Regulators"/>
                    <pic:cNvPicPr/>
                  </pic:nvPicPr>
                  <pic:blipFill>
                    <a:blip r:embed="rId45"/>
                    <a:stretch>
                      <a:fillRect/>
                    </a:stretch>
                  </pic:blipFill>
                  <pic:spPr>
                    <a:xfrm>
                      <a:off x="0" y="0"/>
                      <a:ext cx="4309306" cy="7944950"/>
                    </a:xfrm>
                    <a:prstGeom prst="rect">
                      <a:avLst/>
                    </a:prstGeom>
                  </pic:spPr>
                </pic:pic>
              </a:graphicData>
            </a:graphic>
          </wp:inline>
        </w:drawing>
      </w:r>
    </w:p>
    <w:p w14:paraId="060DDAC2" w14:textId="77777777" w:rsidR="00034BF9" w:rsidRDefault="00034BF9" w:rsidP="00034BF9">
      <w:r>
        <w:br w:type="page"/>
      </w:r>
    </w:p>
    <w:p w14:paraId="5C8E0091" w14:textId="77777777" w:rsidR="00034BF9" w:rsidRDefault="00034BF9" w:rsidP="00034BF9">
      <w:r>
        <w:rPr>
          <w:noProof/>
          <w:lang w:eastAsia="en-AU"/>
        </w:rPr>
        <w:lastRenderedPageBreak/>
        <w:drawing>
          <wp:inline distT="0" distB="0" distL="0" distR="0" wp14:anchorId="4DFB13DA" wp14:editId="51CD0388">
            <wp:extent cx="4305300" cy="7010400"/>
            <wp:effectExtent l="0" t="0" r="0" b="0"/>
            <wp:docPr id="226" name="Picture 226" descr="Regulation of gene technology in Ja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Regulation of gene technology in Japan"/>
                    <pic:cNvPicPr/>
                  </pic:nvPicPr>
                  <pic:blipFill>
                    <a:blip r:embed="rId46"/>
                    <a:stretch>
                      <a:fillRect/>
                    </a:stretch>
                  </pic:blipFill>
                  <pic:spPr>
                    <a:xfrm>
                      <a:off x="0" y="0"/>
                      <a:ext cx="4305300" cy="7010400"/>
                    </a:xfrm>
                    <a:prstGeom prst="rect">
                      <a:avLst/>
                    </a:prstGeom>
                  </pic:spPr>
                </pic:pic>
              </a:graphicData>
            </a:graphic>
          </wp:inline>
        </w:drawing>
      </w:r>
    </w:p>
    <w:p w14:paraId="4EB8AE70" w14:textId="77777777" w:rsidR="00034BF9" w:rsidRDefault="00034BF9" w:rsidP="00034BF9">
      <w:r>
        <w:br w:type="page"/>
      </w:r>
    </w:p>
    <w:p w14:paraId="1E08F0E1" w14:textId="77777777" w:rsidR="00034BF9" w:rsidRDefault="00034BF9" w:rsidP="00034BF9">
      <w:r>
        <w:rPr>
          <w:noProof/>
          <w:lang w:eastAsia="en-AU"/>
        </w:rPr>
        <w:lastRenderedPageBreak/>
        <w:drawing>
          <wp:inline distT="0" distB="0" distL="0" distR="0" wp14:anchorId="029ACEA2" wp14:editId="391B9569">
            <wp:extent cx="4784651" cy="8367416"/>
            <wp:effectExtent l="0" t="0" r="0" b="0"/>
            <wp:docPr id="227" name="Picture 227" descr="Regulation of gene technology in Ja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Regulation of gene technology in Japan"/>
                    <pic:cNvPicPr/>
                  </pic:nvPicPr>
                  <pic:blipFill>
                    <a:blip r:embed="rId47"/>
                    <a:stretch>
                      <a:fillRect/>
                    </a:stretch>
                  </pic:blipFill>
                  <pic:spPr>
                    <a:xfrm>
                      <a:off x="0" y="0"/>
                      <a:ext cx="4787630" cy="8372626"/>
                    </a:xfrm>
                    <a:prstGeom prst="rect">
                      <a:avLst/>
                    </a:prstGeom>
                  </pic:spPr>
                </pic:pic>
              </a:graphicData>
            </a:graphic>
          </wp:inline>
        </w:drawing>
      </w:r>
    </w:p>
    <w:p w14:paraId="580DBAAF" w14:textId="77777777" w:rsidR="00034BF9" w:rsidRDefault="00034BF9" w:rsidP="00034BF9">
      <w:r>
        <w:br w:type="page"/>
      </w:r>
    </w:p>
    <w:p w14:paraId="21BFA856" w14:textId="7AA5324B" w:rsidR="00034BF9" w:rsidRDefault="005B0F51" w:rsidP="001C63CC">
      <w:pPr>
        <w:pStyle w:val="Heading1"/>
      </w:pPr>
      <w:bookmarkStart w:id="95" w:name="_Toc95326329"/>
      <w:r>
        <w:lastRenderedPageBreak/>
        <w:t>Appendix 9</w:t>
      </w:r>
      <w:bookmarkEnd w:id="95"/>
    </w:p>
    <w:p w14:paraId="78259299" w14:textId="3A89FD6D" w:rsidR="00814792" w:rsidRDefault="00814792" w:rsidP="00814792">
      <w:pPr>
        <w:pStyle w:val="Heading2"/>
      </w:pPr>
      <w:bookmarkStart w:id="96" w:name="_Toc95326330"/>
      <w:r w:rsidRPr="00814792">
        <w:t>Developing strategies for GM and non-GM crops in Queensland: a framework for co-existence</w:t>
      </w:r>
      <w:bookmarkEnd w:id="96"/>
    </w:p>
    <w:p w14:paraId="5ACC154A" w14:textId="075E534E" w:rsidR="00B431C9" w:rsidRDefault="00C7474B" w:rsidP="00C7474B">
      <w:r w:rsidRPr="00C7474B">
        <w:rPr>
          <w:noProof/>
        </w:rPr>
        <w:drawing>
          <wp:inline distT="0" distB="0" distL="0" distR="0" wp14:anchorId="690C0D45" wp14:editId="28B167CE">
            <wp:extent cx="5400000" cy="7640891"/>
            <wp:effectExtent l="0" t="0" r="0" b="0"/>
            <wp:docPr id="2" name="Picture 2" descr="Developing strategies for GM and non-GM crops in Queensland: a framework for co-exist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veloping strategies for GM and non-GM crops in Queensland: a framework for co-existenc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000" cy="7640891"/>
                    </a:xfrm>
                    <a:prstGeom prst="rect">
                      <a:avLst/>
                    </a:prstGeom>
                    <a:noFill/>
                    <a:ln>
                      <a:noFill/>
                    </a:ln>
                  </pic:spPr>
                </pic:pic>
              </a:graphicData>
            </a:graphic>
          </wp:inline>
        </w:drawing>
      </w:r>
    </w:p>
    <w:p w14:paraId="48AE7DEC" w14:textId="77777777" w:rsidR="00B431C9" w:rsidRDefault="00B431C9">
      <w:pPr>
        <w:spacing w:before="0" w:after="160" w:line="259" w:lineRule="auto"/>
      </w:pPr>
      <w:r>
        <w:br w:type="page"/>
      </w:r>
    </w:p>
    <w:p w14:paraId="5B37D11E" w14:textId="5DE10598" w:rsidR="00B431C9" w:rsidRDefault="00B431C9" w:rsidP="00C7474B">
      <w:r w:rsidRPr="00B431C9">
        <w:rPr>
          <w:noProof/>
        </w:rPr>
        <w:lastRenderedPageBreak/>
        <w:drawing>
          <wp:inline distT="0" distB="0" distL="0" distR="0" wp14:anchorId="7695516F" wp14:editId="05EF557C">
            <wp:extent cx="5400000" cy="7579875"/>
            <wp:effectExtent l="0" t="0" r="0" b="2540"/>
            <wp:docPr id="3" name="Picture 3" descr="Developing strategies for GM and non-GM crops in Queensland: a framework for co-exist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veloping strategies for GM and non-GM crops in Queensland: a framework for co-existenc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0000" cy="7579875"/>
                    </a:xfrm>
                    <a:prstGeom prst="rect">
                      <a:avLst/>
                    </a:prstGeom>
                    <a:noFill/>
                    <a:ln>
                      <a:noFill/>
                    </a:ln>
                  </pic:spPr>
                </pic:pic>
              </a:graphicData>
            </a:graphic>
          </wp:inline>
        </w:drawing>
      </w:r>
    </w:p>
    <w:p w14:paraId="1CA08BC3" w14:textId="77777777" w:rsidR="00B431C9" w:rsidRDefault="00B431C9">
      <w:pPr>
        <w:spacing w:before="0" w:after="160" w:line="259" w:lineRule="auto"/>
      </w:pPr>
      <w:r>
        <w:br w:type="page"/>
      </w:r>
    </w:p>
    <w:p w14:paraId="3C81E2A7" w14:textId="5641E77E" w:rsidR="00E737EA" w:rsidRDefault="00E737EA" w:rsidP="00C7474B">
      <w:r w:rsidRPr="00E737EA">
        <w:rPr>
          <w:noProof/>
        </w:rPr>
        <w:lastRenderedPageBreak/>
        <w:drawing>
          <wp:inline distT="0" distB="0" distL="0" distR="0" wp14:anchorId="166B91F3" wp14:editId="6BDB815A">
            <wp:extent cx="5400000" cy="7579875"/>
            <wp:effectExtent l="0" t="0" r="0" b="2540"/>
            <wp:docPr id="4" name="Picture 4" descr="Developing strategies for GM and non-GM crops in Queensland: a framework for co-exist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eveloping strategies for GM and non-GM crops in Queensland: a framework for co-existenc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00000" cy="7579875"/>
                    </a:xfrm>
                    <a:prstGeom prst="rect">
                      <a:avLst/>
                    </a:prstGeom>
                    <a:noFill/>
                    <a:ln>
                      <a:noFill/>
                    </a:ln>
                  </pic:spPr>
                </pic:pic>
              </a:graphicData>
            </a:graphic>
          </wp:inline>
        </w:drawing>
      </w:r>
    </w:p>
    <w:p w14:paraId="395AA929" w14:textId="77777777" w:rsidR="00E737EA" w:rsidRDefault="00E737EA">
      <w:pPr>
        <w:spacing w:before="0" w:after="160" w:line="259" w:lineRule="auto"/>
      </w:pPr>
      <w:r>
        <w:br w:type="page"/>
      </w:r>
    </w:p>
    <w:p w14:paraId="3FC3D151" w14:textId="61CC006D" w:rsidR="00CB19DF" w:rsidRDefault="00CB19DF" w:rsidP="00C7474B">
      <w:r w:rsidRPr="00CB19DF">
        <w:rPr>
          <w:noProof/>
        </w:rPr>
        <w:lastRenderedPageBreak/>
        <w:drawing>
          <wp:inline distT="0" distB="0" distL="0" distR="0" wp14:anchorId="4D4BB984" wp14:editId="5F35F971">
            <wp:extent cx="5400000" cy="7649617"/>
            <wp:effectExtent l="0" t="0" r="0" b="8890"/>
            <wp:docPr id="5" name="Picture 5" descr="Developing strategies for GM and non-GM crops in Queensland: a framework for co-exist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eveloping strategies for GM and non-GM crops in Queensland: a framework for co-existenc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0000" cy="7649617"/>
                    </a:xfrm>
                    <a:prstGeom prst="rect">
                      <a:avLst/>
                    </a:prstGeom>
                    <a:noFill/>
                    <a:ln>
                      <a:noFill/>
                    </a:ln>
                  </pic:spPr>
                </pic:pic>
              </a:graphicData>
            </a:graphic>
          </wp:inline>
        </w:drawing>
      </w:r>
    </w:p>
    <w:p w14:paraId="6A394A7C" w14:textId="77777777" w:rsidR="00CB19DF" w:rsidRDefault="00CB19DF">
      <w:pPr>
        <w:spacing w:before="0" w:after="160" w:line="259" w:lineRule="auto"/>
      </w:pPr>
      <w:r>
        <w:br w:type="page"/>
      </w:r>
    </w:p>
    <w:p w14:paraId="5415C24E" w14:textId="7AC9A2A7" w:rsidR="00CB19DF" w:rsidRDefault="00CB19DF" w:rsidP="00C7474B">
      <w:r w:rsidRPr="00CB19DF">
        <w:rPr>
          <w:noProof/>
        </w:rPr>
        <w:lastRenderedPageBreak/>
        <w:drawing>
          <wp:inline distT="0" distB="0" distL="0" distR="0" wp14:anchorId="2CE69D4A" wp14:editId="41FA4498">
            <wp:extent cx="5400000" cy="7579875"/>
            <wp:effectExtent l="0" t="0" r="0" b="2540"/>
            <wp:docPr id="6" name="Picture 6" descr="Developing strategies for GM and non-GM crops in Queensland: a framework for co-exist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eveloping strategies for GM and non-GM crops in Queensland: a framework for co-existenc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00000" cy="7579875"/>
                    </a:xfrm>
                    <a:prstGeom prst="rect">
                      <a:avLst/>
                    </a:prstGeom>
                    <a:noFill/>
                    <a:ln>
                      <a:noFill/>
                    </a:ln>
                  </pic:spPr>
                </pic:pic>
              </a:graphicData>
            </a:graphic>
          </wp:inline>
        </w:drawing>
      </w:r>
    </w:p>
    <w:p w14:paraId="2471CA78" w14:textId="77777777" w:rsidR="00CB19DF" w:rsidRDefault="00CB19DF">
      <w:pPr>
        <w:spacing w:before="0" w:after="160" w:line="259" w:lineRule="auto"/>
      </w:pPr>
      <w:r>
        <w:br w:type="page"/>
      </w:r>
    </w:p>
    <w:p w14:paraId="4298CBA7" w14:textId="0F8ED4A6" w:rsidR="00691C6E" w:rsidRDefault="00691C6E" w:rsidP="00C7474B">
      <w:r w:rsidRPr="00691C6E">
        <w:rPr>
          <w:noProof/>
        </w:rPr>
        <w:lastRenderedPageBreak/>
        <w:drawing>
          <wp:inline distT="0" distB="0" distL="0" distR="0" wp14:anchorId="77B0D3D9" wp14:editId="0FF5C27A">
            <wp:extent cx="5400000" cy="7579875"/>
            <wp:effectExtent l="0" t="0" r="0" b="2540"/>
            <wp:docPr id="7" name="Picture 7" descr="Developing strategies for GM and non-GM crops in Queensland: a framework for co-exist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eveloping strategies for GM and non-GM crops in Queensland: a framework for co-existenc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0000" cy="7579875"/>
                    </a:xfrm>
                    <a:prstGeom prst="rect">
                      <a:avLst/>
                    </a:prstGeom>
                    <a:noFill/>
                    <a:ln>
                      <a:noFill/>
                    </a:ln>
                  </pic:spPr>
                </pic:pic>
              </a:graphicData>
            </a:graphic>
          </wp:inline>
        </w:drawing>
      </w:r>
    </w:p>
    <w:p w14:paraId="7580A377" w14:textId="77777777" w:rsidR="00691C6E" w:rsidRDefault="00691C6E">
      <w:pPr>
        <w:spacing w:before="0" w:after="160" w:line="259" w:lineRule="auto"/>
      </w:pPr>
      <w:r>
        <w:br w:type="page"/>
      </w:r>
    </w:p>
    <w:p w14:paraId="55614487" w14:textId="0BE8D87A" w:rsidR="00691C6E" w:rsidRDefault="00691C6E" w:rsidP="00C7474B">
      <w:r w:rsidRPr="00691C6E">
        <w:rPr>
          <w:noProof/>
        </w:rPr>
        <w:lastRenderedPageBreak/>
        <w:drawing>
          <wp:inline distT="0" distB="0" distL="0" distR="0" wp14:anchorId="49386C6C" wp14:editId="44CF856E">
            <wp:extent cx="5400000" cy="7579875"/>
            <wp:effectExtent l="0" t="0" r="0" b="2540"/>
            <wp:docPr id="8" name="Picture 8" descr="Developing strategies for GM and non-GM crops in Queensland: a framework for co-exist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eveloping strategies for GM and non-GM crops in Queensland: a framework for co-existenc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0000" cy="7579875"/>
                    </a:xfrm>
                    <a:prstGeom prst="rect">
                      <a:avLst/>
                    </a:prstGeom>
                    <a:noFill/>
                    <a:ln>
                      <a:noFill/>
                    </a:ln>
                  </pic:spPr>
                </pic:pic>
              </a:graphicData>
            </a:graphic>
          </wp:inline>
        </w:drawing>
      </w:r>
    </w:p>
    <w:p w14:paraId="7EC5658E" w14:textId="77777777" w:rsidR="00691C6E" w:rsidRDefault="00691C6E">
      <w:pPr>
        <w:spacing w:before="0" w:after="160" w:line="259" w:lineRule="auto"/>
      </w:pPr>
      <w:r>
        <w:br w:type="page"/>
      </w:r>
    </w:p>
    <w:p w14:paraId="1F794F6D" w14:textId="75D69DF1" w:rsidR="00AA4DE0" w:rsidRDefault="00AA4DE0" w:rsidP="00C7474B">
      <w:r w:rsidRPr="00AA4DE0">
        <w:rPr>
          <w:noProof/>
        </w:rPr>
        <w:lastRenderedPageBreak/>
        <w:drawing>
          <wp:inline distT="0" distB="0" distL="0" distR="0" wp14:anchorId="42CDCA39" wp14:editId="43D75792">
            <wp:extent cx="5400000" cy="7649617"/>
            <wp:effectExtent l="0" t="0" r="0" b="8890"/>
            <wp:docPr id="9" name="Picture 9" descr="Developing strategies for GM and non-GM crops in Queensland: a framework for co-exist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eveloping strategies for GM and non-GM crops in Queensland: a framework for co-existenc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0000" cy="7649617"/>
                    </a:xfrm>
                    <a:prstGeom prst="rect">
                      <a:avLst/>
                    </a:prstGeom>
                    <a:noFill/>
                    <a:ln>
                      <a:noFill/>
                    </a:ln>
                  </pic:spPr>
                </pic:pic>
              </a:graphicData>
            </a:graphic>
          </wp:inline>
        </w:drawing>
      </w:r>
    </w:p>
    <w:p w14:paraId="457618D1" w14:textId="77777777" w:rsidR="00AA4DE0" w:rsidRDefault="00AA4DE0">
      <w:pPr>
        <w:spacing w:before="0" w:after="160" w:line="259" w:lineRule="auto"/>
      </w:pPr>
      <w:r>
        <w:br w:type="page"/>
      </w:r>
    </w:p>
    <w:p w14:paraId="1A8184F6" w14:textId="67E9C74E" w:rsidR="00AA4DE0" w:rsidRDefault="00AA4DE0" w:rsidP="00C7474B">
      <w:r w:rsidRPr="00AA4DE0">
        <w:rPr>
          <w:noProof/>
        </w:rPr>
        <w:lastRenderedPageBreak/>
        <w:drawing>
          <wp:inline distT="0" distB="0" distL="0" distR="0" wp14:anchorId="23078455" wp14:editId="473D8455">
            <wp:extent cx="5400000" cy="7579875"/>
            <wp:effectExtent l="0" t="0" r="0" b="2540"/>
            <wp:docPr id="10" name="Picture 10" descr="Developing strategies for GM and non-GM crops in Queensland: a framework for co-exist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eveloping strategies for GM and non-GM crops in Queensland: a framework for co-existenc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00" cy="7579875"/>
                    </a:xfrm>
                    <a:prstGeom prst="rect">
                      <a:avLst/>
                    </a:prstGeom>
                    <a:noFill/>
                    <a:ln>
                      <a:noFill/>
                    </a:ln>
                  </pic:spPr>
                </pic:pic>
              </a:graphicData>
            </a:graphic>
          </wp:inline>
        </w:drawing>
      </w:r>
    </w:p>
    <w:p w14:paraId="0E8FE31D" w14:textId="77777777" w:rsidR="00AA4DE0" w:rsidRDefault="00AA4DE0">
      <w:pPr>
        <w:spacing w:before="0" w:after="160" w:line="259" w:lineRule="auto"/>
      </w:pPr>
      <w:r>
        <w:br w:type="page"/>
      </w:r>
    </w:p>
    <w:p w14:paraId="185AA146" w14:textId="52C75420" w:rsidR="00544C04" w:rsidRDefault="00544C04" w:rsidP="00C7474B">
      <w:r w:rsidRPr="00544C04">
        <w:rPr>
          <w:noProof/>
        </w:rPr>
        <w:lastRenderedPageBreak/>
        <w:drawing>
          <wp:inline distT="0" distB="0" distL="0" distR="0" wp14:anchorId="68D692C3" wp14:editId="151F6A87">
            <wp:extent cx="5400000" cy="7579875"/>
            <wp:effectExtent l="0" t="0" r="0" b="2540"/>
            <wp:docPr id="12" name="Picture 12" descr="Developing strategies for GM and non-GM crops in Queensland: a framework for co-exist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eveloping strategies for GM and non-GM crops in Queensland: a framework for co-existenc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00000" cy="7579875"/>
                    </a:xfrm>
                    <a:prstGeom prst="rect">
                      <a:avLst/>
                    </a:prstGeom>
                    <a:noFill/>
                    <a:ln>
                      <a:noFill/>
                    </a:ln>
                  </pic:spPr>
                </pic:pic>
              </a:graphicData>
            </a:graphic>
          </wp:inline>
        </w:drawing>
      </w:r>
    </w:p>
    <w:p w14:paraId="43F338E6" w14:textId="77777777" w:rsidR="00544C04" w:rsidRDefault="00544C04">
      <w:pPr>
        <w:spacing w:before="0" w:after="160" w:line="259" w:lineRule="auto"/>
      </w:pPr>
      <w:r>
        <w:br w:type="page"/>
      </w:r>
    </w:p>
    <w:p w14:paraId="3ACC82EB" w14:textId="5374FDCF" w:rsidR="00651F08" w:rsidRDefault="00651F08" w:rsidP="00C7474B">
      <w:r w:rsidRPr="00651F08">
        <w:rPr>
          <w:noProof/>
        </w:rPr>
        <w:lastRenderedPageBreak/>
        <w:drawing>
          <wp:inline distT="0" distB="0" distL="0" distR="0" wp14:anchorId="15A925CA" wp14:editId="382BFAE9">
            <wp:extent cx="5400000" cy="7579875"/>
            <wp:effectExtent l="0" t="0" r="0" b="2540"/>
            <wp:docPr id="13" name="Picture 13" descr="Developing strategies for GM and non-GM crops in Queensland: a framework for co-exist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eveloping strategies for GM and non-GM crops in Queensland: a framework for co-existenc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0000" cy="7579875"/>
                    </a:xfrm>
                    <a:prstGeom prst="rect">
                      <a:avLst/>
                    </a:prstGeom>
                    <a:noFill/>
                    <a:ln>
                      <a:noFill/>
                    </a:ln>
                  </pic:spPr>
                </pic:pic>
              </a:graphicData>
            </a:graphic>
          </wp:inline>
        </w:drawing>
      </w:r>
    </w:p>
    <w:p w14:paraId="4A39BF59" w14:textId="77777777" w:rsidR="00651F08" w:rsidRDefault="00651F08">
      <w:pPr>
        <w:spacing w:before="0" w:after="160" w:line="259" w:lineRule="auto"/>
      </w:pPr>
      <w:r>
        <w:br w:type="page"/>
      </w:r>
    </w:p>
    <w:p w14:paraId="463DFF39" w14:textId="652250B9" w:rsidR="00651F08" w:rsidRDefault="00651F08" w:rsidP="00C7474B">
      <w:r w:rsidRPr="00651F08">
        <w:rPr>
          <w:noProof/>
        </w:rPr>
        <w:lastRenderedPageBreak/>
        <w:drawing>
          <wp:inline distT="0" distB="0" distL="0" distR="0" wp14:anchorId="39B202E5" wp14:editId="27AE471F">
            <wp:extent cx="5400000" cy="7579875"/>
            <wp:effectExtent l="0" t="0" r="0" b="2540"/>
            <wp:docPr id="14" name="Picture 14" descr="Developing strategies for GM and non-GM crops in Queensland: a framework for co-exist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eveloping strategies for GM and non-GM crops in Queensland: a framework for co-existenc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00000" cy="7579875"/>
                    </a:xfrm>
                    <a:prstGeom prst="rect">
                      <a:avLst/>
                    </a:prstGeom>
                    <a:noFill/>
                    <a:ln>
                      <a:noFill/>
                    </a:ln>
                  </pic:spPr>
                </pic:pic>
              </a:graphicData>
            </a:graphic>
          </wp:inline>
        </w:drawing>
      </w:r>
    </w:p>
    <w:p w14:paraId="707FBD0B" w14:textId="77777777" w:rsidR="00651F08" w:rsidRDefault="00651F08">
      <w:pPr>
        <w:spacing w:before="0" w:after="160" w:line="259" w:lineRule="auto"/>
      </w:pPr>
      <w:r>
        <w:br w:type="page"/>
      </w:r>
    </w:p>
    <w:p w14:paraId="538309F8" w14:textId="22953A99" w:rsidR="00AB0873" w:rsidRDefault="00AB0873" w:rsidP="00C7474B">
      <w:r w:rsidRPr="00AB0873">
        <w:rPr>
          <w:noProof/>
        </w:rPr>
        <w:lastRenderedPageBreak/>
        <w:drawing>
          <wp:inline distT="0" distB="0" distL="0" distR="0" wp14:anchorId="51C8262C" wp14:editId="5202B616">
            <wp:extent cx="5400000" cy="7579875"/>
            <wp:effectExtent l="0" t="0" r="0" b="2540"/>
            <wp:docPr id="15" name="Picture 15" descr="Developing strategies for GM and non-GM crops in Queensland: a framework for co-exist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eveloping strategies for GM and non-GM crops in Queensland: a framework for co-existenc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00000" cy="7579875"/>
                    </a:xfrm>
                    <a:prstGeom prst="rect">
                      <a:avLst/>
                    </a:prstGeom>
                    <a:noFill/>
                    <a:ln>
                      <a:noFill/>
                    </a:ln>
                  </pic:spPr>
                </pic:pic>
              </a:graphicData>
            </a:graphic>
          </wp:inline>
        </w:drawing>
      </w:r>
    </w:p>
    <w:p w14:paraId="51F5B4DB" w14:textId="77777777" w:rsidR="00AB0873" w:rsidRDefault="00AB0873">
      <w:pPr>
        <w:spacing w:before="0" w:after="160" w:line="259" w:lineRule="auto"/>
      </w:pPr>
      <w:r>
        <w:br w:type="page"/>
      </w:r>
    </w:p>
    <w:p w14:paraId="527661DD" w14:textId="478C8AD9" w:rsidR="00AB0873" w:rsidRDefault="00AB0873" w:rsidP="00C7474B">
      <w:r w:rsidRPr="00AB0873">
        <w:rPr>
          <w:noProof/>
        </w:rPr>
        <w:lastRenderedPageBreak/>
        <w:drawing>
          <wp:inline distT="0" distB="0" distL="0" distR="0" wp14:anchorId="39183473" wp14:editId="0451D0B1">
            <wp:extent cx="5400000" cy="7579875"/>
            <wp:effectExtent l="0" t="0" r="0" b="2540"/>
            <wp:docPr id="16" name="Picture 16" descr="Developing strategies for GM and non-GM crops in Queensland: a framework for co-exist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eveloping strategies for GM and non-GM crops in Queensland: a framework for co-existenc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00000" cy="7579875"/>
                    </a:xfrm>
                    <a:prstGeom prst="rect">
                      <a:avLst/>
                    </a:prstGeom>
                    <a:noFill/>
                    <a:ln>
                      <a:noFill/>
                    </a:ln>
                  </pic:spPr>
                </pic:pic>
              </a:graphicData>
            </a:graphic>
          </wp:inline>
        </w:drawing>
      </w:r>
    </w:p>
    <w:p w14:paraId="75B78DB5" w14:textId="77777777" w:rsidR="00AB0873" w:rsidRDefault="00AB0873">
      <w:pPr>
        <w:spacing w:before="0" w:after="160" w:line="259" w:lineRule="auto"/>
      </w:pPr>
      <w:r>
        <w:br w:type="page"/>
      </w:r>
    </w:p>
    <w:p w14:paraId="6A227918" w14:textId="2CDE8CD7" w:rsidR="00C7474B" w:rsidRPr="00C7474B" w:rsidRDefault="004A5D28" w:rsidP="00C7474B">
      <w:r w:rsidRPr="004A5D28">
        <w:rPr>
          <w:noProof/>
        </w:rPr>
        <w:lastRenderedPageBreak/>
        <w:drawing>
          <wp:inline distT="0" distB="0" distL="0" distR="0" wp14:anchorId="13020388" wp14:editId="46CC1C08">
            <wp:extent cx="5400000" cy="7649617"/>
            <wp:effectExtent l="0" t="0" r="0" b="8890"/>
            <wp:docPr id="17" name="Picture 17" descr="Developing strategies for GM and non-GM crops in Queensland: a framework for co-exist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eveloping strategies for GM and non-GM crops in Queensland: a framework for co-existenc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00000" cy="7649617"/>
                    </a:xfrm>
                    <a:prstGeom prst="rect">
                      <a:avLst/>
                    </a:prstGeom>
                    <a:noFill/>
                    <a:ln>
                      <a:noFill/>
                    </a:ln>
                  </pic:spPr>
                </pic:pic>
              </a:graphicData>
            </a:graphic>
          </wp:inline>
        </w:drawing>
      </w:r>
    </w:p>
    <w:sectPr w:rsidR="00C7474B" w:rsidRPr="00C7474B" w:rsidSect="00E479F0">
      <w:type w:val="continuous"/>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E93EC4" w14:textId="77777777" w:rsidR="009F018E" w:rsidRDefault="009F018E" w:rsidP="003F672B">
      <w:pPr>
        <w:spacing w:after="0" w:line="240" w:lineRule="auto"/>
      </w:pPr>
      <w:r>
        <w:separator/>
      </w:r>
    </w:p>
  </w:endnote>
  <w:endnote w:type="continuationSeparator" w:id="0">
    <w:p w14:paraId="17831AFC" w14:textId="77777777" w:rsidR="009F018E" w:rsidRDefault="009F018E" w:rsidP="003F67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timaLT-Black">
    <w:altName w:val="Calibri"/>
    <w:panose1 w:val="00000000000000000000"/>
    <w:charset w:val="00"/>
    <w:family w:val="auto"/>
    <w:notTrueType/>
    <w:pitch w:val="default"/>
    <w:sig w:usb0="00000003" w:usb1="00000000" w:usb2="00000000" w:usb3="00000000" w:csb0="00000001" w:csb1="00000000"/>
  </w:font>
  <w:font w:name="StoneSerifLT">
    <w:altName w:val="Calibri"/>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toneSerifLT-SemiboldItalic">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04720303"/>
      <w:docPartObj>
        <w:docPartGallery w:val="Page Numbers (Bottom of Page)"/>
        <w:docPartUnique/>
      </w:docPartObj>
    </w:sdtPr>
    <w:sdtEndPr>
      <w:rPr>
        <w:noProof/>
      </w:rPr>
    </w:sdtEndPr>
    <w:sdtContent>
      <w:p w14:paraId="6D42A84E" w14:textId="77777777" w:rsidR="00B56072" w:rsidRDefault="00B56072">
        <w:pPr>
          <w:pStyle w:val="Footer"/>
          <w:jc w:val="right"/>
        </w:pPr>
        <w:r>
          <w:fldChar w:fldCharType="begin"/>
        </w:r>
        <w:r>
          <w:instrText xml:space="preserve"> PAGE   \* MERGEFORMAT </w:instrText>
        </w:r>
        <w:r>
          <w:fldChar w:fldCharType="separate"/>
        </w:r>
        <w:r>
          <w:rPr>
            <w:noProof/>
          </w:rPr>
          <w:t>17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A5A0DA" w14:textId="77777777" w:rsidR="009F018E" w:rsidRDefault="009F018E" w:rsidP="003F672B">
      <w:pPr>
        <w:spacing w:after="0" w:line="240" w:lineRule="auto"/>
      </w:pPr>
      <w:r>
        <w:separator/>
      </w:r>
    </w:p>
  </w:footnote>
  <w:footnote w:type="continuationSeparator" w:id="0">
    <w:p w14:paraId="00FBC1D9" w14:textId="77777777" w:rsidR="009F018E" w:rsidRDefault="009F018E" w:rsidP="003F672B">
      <w:pPr>
        <w:spacing w:after="0" w:line="240" w:lineRule="auto"/>
      </w:pPr>
      <w:r>
        <w:continuationSeparator/>
      </w:r>
    </w:p>
  </w:footnote>
  <w:footnote w:id="1">
    <w:p w14:paraId="5D9382FF" w14:textId="7BA1E3C3" w:rsidR="00B56072" w:rsidRDefault="00B56072">
      <w:pPr>
        <w:pStyle w:val="FootnoteText"/>
      </w:pPr>
      <w:r>
        <w:rPr>
          <w:rStyle w:val="FootnoteReference"/>
        </w:rPr>
        <w:footnoteRef/>
      </w:r>
      <w:r>
        <w:t xml:space="preserve"> Tabled in the Western Australian Parliament in July 2003</w:t>
      </w:r>
    </w:p>
  </w:footnote>
  <w:footnote w:id="2">
    <w:p w14:paraId="5D18F1FE" w14:textId="26E5022F" w:rsidR="00B56072" w:rsidRDefault="00B56072">
      <w:pPr>
        <w:pStyle w:val="FootnoteText"/>
      </w:pPr>
      <w:r>
        <w:rPr>
          <w:rStyle w:val="FootnoteReference"/>
        </w:rPr>
        <w:footnoteRef/>
      </w:r>
      <w:r>
        <w:t xml:space="preserve"> [1999] 198 CLR 180</w:t>
      </w:r>
    </w:p>
  </w:footnote>
  <w:footnote w:id="3">
    <w:p w14:paraId="5F674282" w14:textId="0138AE28" w:rsidR="00B56072" w:rsidRDefault="00B56072">
      <w:pPr>
        <w:pStyle w:val="FootnoteText"/>
      </w:pPr>
      <w:r>
        <w:rPr>
          <w:rStyle w:val="FootnoteReference"/>
        </w:rPr>
        <w:footnoteRef/>
      </w:r>
      <w:r>
        <w:t xml:space="preserve"> </w:t>
      </w:r>
      <w:r>
        <w:rPr>
          <w:rFonts w:ascii="Helvetica" w:hAnsi="Helvetica" w:cs="Helvetica"/>
          <w:color w:val="000000"/>
          <w:sz w:val="18"/>
          <w:szCs w:val="18"/>
        </w:rPr>
        <w:t>http://europa.eu.int/comm/secretariat_general/sgb/state_aids/agriculture-2004/n568-04.pdf</w:t>
      </w:r>
    </w:p>
  </w:footnote>
  <w:footnote w:id="4">
    <w:p w14:paraId="54ED606C" w14:textId="3E24AFB3" w:rsidR="00B56072" w:rsidRDefault="00B56072">
      <w:pPr>
        <w:pStyle w:val="FootnoteText"/>
      </w:pPr>
      <w:r>
        <w:rPr>
          <w:rStyle w:val="FootnoteReference"/>
        </w:rPr>
        <w:footnoteRef/>
      </w:r>
      <w:r>
        <w:t xml:space="preserve"> Foster, M. 2003, GM Canola: What are its Economics under Australian </w:t>
      </w:r>
      <w:r>
        <w:t>Conditions?, Australian Grains Industry 2003, ABARE, Canberra.</w:t>
      </w:r>
    </w:p>
  </w:footnote>
  <w:footnote w:id="5">
    <w:p w14:paraId="79675696" w14:textId="19D7F4CB" w:rsidR="00B56072" w:rsidRDefault="00B56072" w:rsidP="008C7B7C">
      <w:pPr>
        <w:pStyle w:val="FootnoteText"/>
      </w:pPr>
      <w:r>
        <w:rPr>
          <w:rStyle w:val="FootnoteReference"/>
        </w:rPr>
        <w:footnoteRef/>
      </w:r>
      <w:r>
        <w:t xml:space="preserve"> Senate Community Affairs References Committee, 2000, A Cautionary Tale: Fish Don’t Lay Tomatoes, November, p.144.</w:t>
      </w:r>
    </w:p>
  </w:footnote>
  <w:footnote w:id="6">
    <w:p w14:paraId="0CBFA3FD" w14:textId="48BE7EE2" w:rsidR="00B56072" w:rsidRDefault="00B56072">
      <w:pPr>
        <w:pStyle w:val="FootnoteText"/>
      </w:pPr>
      <w:r>
        <w:rPr>
          <w:rStyle w:val="FootnoteReference"/>
        </w:rPr>
        <w:footnoteRef/>
      </w:r>
      <w:r>
        <w:t xml:space="preserve"> The Standard Cost Model: A framework for defi </w:t>
      </w:r>
      <w:r>
        <w:t>ning and quantifying administrative burdens for businesses, OECD, August 2004.</w:t>
      </w:r>
    </w:p>
  </w:footnote>
  <w:footnote w:id="7">
    <w:p w14:paraId="7788E0F0" w14:textId="090A9C04" w:rsidR="00B56072" w:rsidRDefault="00B56072">
      <w:pPr>
        <w:pStyle w:val="FootnoteText"/>
      </w:pPr>
      <w:r>
        <w:rPr>
          <w:rStyle w:val="FootnoteReference"/>
        </w:rPr>
        <w:footnoteRef/>
      </w:r>
      <w:r>
        <w:t xml:space="preserve"> ‘Council of Australian Governments Principles and Guidelines for National Standard Setting and Regulatory Action by Ministerial councils and Standard-Setting bodies’ (as amended by COAG June</w:t>
      </w:r>
    </w:p>
  </w:footnote>
  <w:footnote w:id="8">
    <w:p w14:paraId="18998A27" w14:textId="6DBA57BC" w:rsidR="00B56072" w:rsidRDefault="00B56072">
      <w:pPr>
        <w:pStyle w:val="FootnoteText"/>
      </w:pPr>
      <w:r>
        <w:rPr>
          <w:rStyle w:val="FootnoteReference"/>
        </w:rPr>
        <w:footnoteRef/>
      </w:r>
      <w:r>
        <w:t xml:space="preserve"> </w:t>
      </w:r>
      <w:r w:rsidRPr="00CB492C">
        <w:t>An English language government website was not available for China and different sources were used (see Appendix 8).</w:t>
      </w:r>
    </w:p>
  </w:footnote>
  <w:footnote w:id="9">
    <w:p w14:paraId="25E30BB2" w14:textId="0E142B05" w:rsidR="000F07CC" w:rsidRDefault="000F07CC">
      <w:pPr>
        <w:pStyle w:val="FootnoteText"/>
      </w:pPr>
      <w:r>
        <w:rPr>
          <w:rStyle w:val="FootnoteReference"/>
        </w:rPr>
        <w:footnoteRef/>
      </w:r>
      <w:r>
        <w:t xml:space="preserve"> </w:t>
      </w:r>
      <w:r w:rsidR="00915C52" w:rsidRPr="00915C52">
        <w:t xml:space="preserve">The term ‘minimal’ has been used in the Act and Regulations in relation to these dealings and the GMO </w:t>
      </w:r>
      <w:r w:rsidR="00915C52" w:rsidRPr="00915C52">
        <w:t xml:space="preserve">register;, however, the legislation does not provide any deﬁ </w:t>
      </w:r>
      <w:r w:rsidR="00915C52" w:rsidRPr="00915C52">
        <w:t>nition of ‘minimal’. The Regulator has developed a Risk Analysis Framework in consultation with all major stakeholders including the public to explain the implementation of the legislation.  Chapter 3 of this framework incorporates a vocabulary of terms and deﬁ nitions to be used by the Regulator in conducting risk analysis, including attributions for relative risk estimates. The term minimal is not proposed in this context.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04142"/>
    <w:multiLevelType w:val="hybridMultilevel"/>
    <w:tmpl w:val="85E8A044"/>
    <w:lvl w:ilvl="0" w:tplc="82B26B8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0D60BD"/>
    <w:multiLevelType w:val="hybridMultilevel"/>
    <w:tmpl w:val="F54E3E1C"/>
    <w:lvl w:ilvl="0" w:tplc="82B26B8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8C70BA"/>
    <w:multiLevelType w:val="hybridMultilevel"/>
    <w:tmpl w:val="CCE88F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384120E"/>
    <w:multiLevelType w:val="hybridMultilevel"/>
    <w:tmpl w:val="F26011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77E131B"/>
    <w:multiLevelType w:val="hybridMultilevel"/>
    <w:tmpl w:val="61580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B1316B"/>
    <w:multiLevelType w:val="hybridMultilevel"/>
    <w:tmpl w:val="B860EFBA"/>
    <w:lvl w:ilvl="0" w:tplc="0C090017">
      <w:start w:val="1"/>
      <w:numFmt w:val="lowerLetter"/>
      <w:lvlText w:val="%1)"/>
      <w:lvlJc w:val="left"/>
      <w:pPr>
        <w:ind w:left="720" w:hanging="360"/>
      </w:pPr>
    </w:lvl>
    <w:lvl w:ilvl="1" w:tplc="6CDCBDBA">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95656FD"/>
    <w:multiLevelType w:val="hybridMultilevel"/>
    <w:tmpl w:val="F9E08BF4"/>
    <w:lvl w:ilvl="0" w:tplc="82B26B8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2F2EBA"/>
    <w:multiLevelType w:val="hybridMultilevel"/>
    <w:tmpl w:val="A0A2D1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F665DFD"/>
    <w:multiLevelType w:val="hybridMultilevel"/>
    <w:tmpl w:val="FD928382"/>
    <w:lvl w:ilvl="0" w:tplc="82B26B8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9077A6"/>
    <w:multiLevelType w:val="hybridMultilevel"/>
    <w:tmpl w:val="D8D04B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4680015"/>
    <w:multiLevelType w:val="hybridMultilevel"/>
    <w:tmpl w:val="93E42DE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A6D7DF2"/>
    <w:multiLevelType w:val="hybridMultilevel"/>
    <w:tmpl w:val="E12277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A65D4E"/>
    <w:multiLevelType w:val="hybridMultilevel"/>
    <w:tmpl w:val="87E24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C0F31D3"/>
    <w:multiLevelType w:val="hybridMultilevel"/>
    <w:tmpl w:val="49F83A7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D39573B"/>
    <w:multiLevelType w:val="hybridMultilevel"/>
    <w:tmpl w:val="5882CB28"/>
    <w:lvl w:ilvl="0" w:tplc="82B26B8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D9C24B1"/>
    <w:multiLevelType w:val="hybridMultilevel"/>
    <w:tmpl w:val="9538EA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2D73872"/>
    <w:multiLevelType w:val="hybridMultilevel"/>
    <w:tmpl w:val="7BF845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4E23084"/>
    <w:multiLevelType w:val="hybridMultilevel"/>
    <w:tmpl w:val="E17AB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A703ED8"/>
    <w:multiLevelType w:val="hybridMultilevel"/>
    <w:tmpl w:val="615A4A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DCB7A62"/>
    <w:multiLevelType w:val="hybridMultilevel"/>
    <w:tmpl w:val="894816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F231F4C"/>
    <w:multiLevelType w:val="hybridMultilevel"/>
    <w:tmpl w:val="C9E859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17B72C4"/>
    <w:multiLevelType w:val="hybridMultilevel"/>
    <w:tmpl w:val="36FCAB9C"/>
    <w:lvl w:ilvl="0" w:tplc="82B26B8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3CF3DF6"/>
    <w:multiLevelType w:val="hybridMultilevel"/>
    <w:tmpl w:val="3BF200D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4816558"/>
    <w:multiLevelType w:val="hybridMultilevel"/>
    <w:tmpl w:val="704451A8"/>
    <w:lvl w:ilvl="0" w:tplc="82B26B8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6895BDF"/>
    <w:multiLevelType w:val="hybridMultilevel"/>
    <w:tmpl w:val="813C54D8"/>
    <w:lvl w:ilvl="0" w:tplc="82B26B8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B3404A0"/>
    <w:multiLevelType w:val="hybridMultilevel"/>
    <w:tmpl w:val="26D046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DD5448E"/>
    <w:multiLevelType w:val="hybridMultilevel"/>
    <w:tmpl w:val="329634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1981D60"/>
    <w:multiLevelType w:val="hybridMultilevel"/>
    <w:tmpl w:val="35AEC19E"/>
    <w:lvl w:ilvl="0" w:tplc="82B26B8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1E35851"/>
    <w:multiLevelType w:val="hybridMultilevel"/>
    <w:tmpl w:val="B2EC815A"/>
    <w:lvl w:ilvl="0" w:tplc="82B26B8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2271759"/>
    <w:multiLevelType w:val="hybridMultilevel"/>
    <w:tmpl w:val="F26011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59412D9"/>
    <w:multiLevelType w:val="hybridMultilevel"/>
    <w:tmpl w:val="A6C093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7320559"/>
    <w:multiLevelType w:val="hybridMultilevel"/>
    <w:tmpl w:val="920A23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7607DE2"/>
    <w:multiLevelType w:val="hybridMultilevel"/>
    <w:tmpl w:val="5B901DD2"/>
    <w:lvl w:ilvl="0" w:tplc="82B26B8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8535729"/>
    <w:multiLevelType w:val="hybridMultilevel"/>
    <w:tmpl w:val="1FFC5E5A"/>
    <w:lvl w:ilvl="0" w:tplc="82B26B8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B327E4B"/>
    <w:multiLevelType w:val="hybridMultilevel"/>
    <w:tmpl w:val="D27EDD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2FF52B4"/>
    <w:multiLevelType w:val="hybridMultilevel"/>
    <w:tmpl w:val="1EEE1C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8A86CA1"/>
    <w:multiLevelType w:val="hybridMultilevel"/>
    <w:tmpl w:val="6916FA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BC02874"/>
    <w:multiLevelType w:val="hybridMultilevel"/>
    <w:tmpl w:val="B26C5194"/>
    <w:lvl w:ilvl="0" w:tplc="0C09000F">
      <w:start w:val="1"/>
      <w:numFmt w:val="decimal"/>
      <w:lvlText w:val="%1."/>
      <w:lvlJc w:val="left"/>
      <w:pPr>
        <w:ind w:left="720" w:hanging="360"/>
      </w:pPr>
      <w:rPr>
        <w:rFonts w:hint="default"/>
      </w:rPr>
    </w:lvl>
    <w:lvl w:ilvl="1" w:tplc="1E644AA6">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E180669"/>
    <w:multiLevelType w:val="hybridMultilevel"/>
    <w:tmpl w:val="0F64DB3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FD11EF2"/>
    <w:multiLevelType w:val="hybridMultilevel"/>
    <w:tmpl w:val="CB1EB9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6E65B82"/>
    <w:multiLevelType w:val="hybridMultilevel"/>
    <w:tmpl w:val="898AF8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70624B2"/>
    <w:multiLevelType w:val="hybridMultilevel"/>
    <w:tmpl w:val="DEDE9102"/>
    <w:lvl w:ilvl="0" w:tplc="82B26B8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A1743D8"/>
    <w:multiLevelType w:val="hybridMultilevel"/>
    <w:tmpl w:val="0CE89D5A"/>
    <w:lvl w:ilvl="0" w:tplc="82B26B8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C153E12"/>
    <w:multiLevelType w:val="hybridMultilevel"/>
    <w:tmpl w:val="E618A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3A7173A"/>
    <w:multiLevelType w:val="hybridMultilevel"/>
    <w:tmpl w:val="8D0C75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3F561C9"/>
    <w:multiLevelType w:val="hybridMultilevel"/>
    <w:tmpl w:val="23C238A6"/>
    <w:lvl w:ilvl="0" w:tplc="82B26B8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5087582"/>
    <w:multiLevelType w:val="hybridMultilevel"/>
    <w:tmpl w:val="9A0072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60908B9"/>
    <w:multiLevelType w:val="hybridMultilevel"/>
    <w:tmpl w:val="72580818"/>
    <w:lvl w:ilvl="0" w:tplc="82B26B8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88D1860"/>
    <w:multiLevelType w:val="hybridMultilevel"/>
    <w:tmpl w:val="95DEEC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7C396638"/>
    <w:multiLevelType w:val="hybridMultilevel"/>
    <w:tmpl w:val="91C82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CCB593B"/>
    <w:multiLevelType w:val="hybridMultilevel"/>
    <w:tmpl w:val="F8129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D0448AD"/>
    <w:multiLevelType w:val="hybridMultilevel"/>
    <w:tmpl w:val="B974085E"/>
    <w:lvl w:ilvl="0" w:tplc="82B26B8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8"/>
  </w:num>
  <w:num w:numId="2">
    <w:abstractNumId w:val="41"/>
  </w:num>
  <w:num w:numId="3">
    <w:abstractNumId w:val="42"/>
  </w:num>
  <w:num w:numId="4">
    <w:abstractNumId w:val="10"/>
  </w:num>
  <w:num w:numId="5">
    <w:abstractNumId w:val="48"/>
  </w:num>
  <w:num w:numId="6">
    <w:abstractNumId w:val="1"/>
  </w:num>
  <w:num w:numId="7">
    <w:abstractNumId w:val="8"/>
  </w:num>
  <w:num w:numId="8">
    <w:abstractNumId w:val="27"/>
  </w:num>
  <w:num w:numId="9">
    <w:abstractNumId w:val="24"/>
  </w:num>
  <w:num w:numId="10">
    <w:abstractNumId w:val="32"/>
  </w:num>
  <w:num w:numId="11">
    <w:abstractNumId w:val="38"/>
  </w:num>
  <w:num w:numId="12">
    <w:abstractNumId w:val="21"/>
  </w:num>
  <w:num w:numId="13">
    <w:abstractNumId w:val="22"/>
  </w:num>
  <w:num w:numId="14">
    <w:abstractNumId w:val="46"/>
  </w:num>
  <w:num w:numId="15">
    <w:abstractNumId w:val="0"/>
  </w:num>
  <w:num w:numId="16">
    <w:abstractNumId w:val="33"/>
  </w:num>
  <w:num w:numId="17">
    <w:abstractNumId w:val="23"/>
  </w:num>
  <w:num w:numId="18">
    <w:abstractNumId w:val="6"/>
  </w:num>
  <w:num w:numId="19">
    <w:abstractNumId w:val="51"/>
  </w:num>
  <w:num w:numId="20">
    <w:abstractNumId w:val="14"/>
  </w:num>
  <w:num w:numId="21">
    <w:abstractNumId w:val="47"/>
  </w:num>
  <w:num w:numId="22">
    <w:abstractNumId w:val="45"/>
  </w:num>
  <w:num w:numId="23">
    <w:abstractNumId w:val="34"/>
  </w:num>
  <w:num w:numId="24">
    <w:abstractNumId w:val="25"/>
  </w:num>
  <w:num w:numId="25">
    <w:abstractNumId w:val="5"/>
  </w:num>
  <w:num w:numId="26">
    <w:abstractNumId w:val="18"/>
  </w:num>
  <w:num w:numId="27">
    <w:abstractNumId w:val="12"/>
  </w:num>
  <w:num w:numId="28">
    <w:abstractNumId w:val="19"/>
  </w:num>
  <w:num w:numId="29">
    <w:abstractNumId w:val="29"/>
  </w:num>
  <w:num w:numId="30">
    <w:abstractNumId w:val="3"/>
  </w:num>
  <w:num w:numId="31">
    <w:abstractNumId w:val="2"/>
  </w:num>
  <w:num w:numId="32">
    <w:abstractNumId w:val="39"/>
  </w:num>
  <w:num w:numId="33">
    <w:abstractNumId w:val="9"/>
  </w:num>
  <w:num w:numId="34">
    <w:abstractNumId w:val="7"/>
  </w:num>
  <w:num w:numId="35">
    <w:abstractNumId w:val="20"/>
  </w:num>
  <w:num w:numId="36">
    <w:abstractNumId w:val="44"/>
  </w:num>
  <w:num w:numId="37">
    <w:abstractNumId w:val="16"/>
  </w:num>
  <w:num w:numId="38">
    <w:abstractNumId w:val="30"/>
  </w:num>
  <w:num w:numId="39">
    <w:abstractNumId w:val="37"/>
  </w:num>
  <w:num w:numId="40">
    <w:abstractNumId w:val="26"/>
  </w:num>
  <w:num w:numId="41">
    <w:abstractNumId w:val="43"/>
  </w:num>
  <w:num w:numId="42">
    <w:abstractNumId w:val="17"/>
  </w:num>
  <w:num w:numId="43">
    <w:abstractNumId w:val="11"/>
  </w:num>
  <w:num w:numId="44">
    <w:abstractNumId w:val="13"/>
  </w:num>
  <w:num w:numId="45">
    <w:abstractNumId w:val="49"/>
  </w:num>
  <w:num w:numId="46">
    <w:abstractNumId w:val="50"/>
  </w:num>
  <w:num w:numId="47">
    <w:abstractNumId w:val="35"/>
  </w:num>
  <w:num w:numId="48">
    <w:abstractNumId w:val="31"/>
  </w:num>
  <w:num w:numId="49">
    <w:abstractNumId w:val="4"/>
  </w:num>
  <w:num w:numId="50">
    <w:abstractNumId w:val="36"/>
  </w:num>
  <w:num w:numId="51">
    <w:abstractNumId w:val="15"/>
  </w:num>
  <w:num w:numId="52">
    <w:abstractNumId w:val="4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54"/>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672B"/>
    <w:rsid w:val="0000096C"/>
    <w:rsid w:val="000032C9"/>
    <w:rsid w:val="00003951"/>
    <w:rsid w:val="00016D07"/>
    <w:rsid w:val="00030009"/>
    <w:rsid w:val="00034BF9"/>
    <w:rsid w:val="00043CAA"/>
    <w:rsid w:val="000610B5"/>
    <w:rsid w:val="00081F9E"/>
    <w:rsid w:val="00082667"/>
    <w:rsid w:val="000A1248"/>
    <w:rsid w:val="000A3F4C"/>
    <w:rsid w:val="000B4132"/>
    <w:rsid w:val="000C2051"/>
    <w:rsid w:val="000C40DB"/>
    <w:rsid w:val="000D447B"/>
    <w:rsid w:val="000D51A7"/>
    <w:rsid w:val="000E175D"/>
    <w:rsid w:val="000E1A4E"/>
    <w:rsid w:val="000F07CC"/>
    <w:rsid w:val="000F33EF"/>
    <w:rsid w:val="000F4ACF"/>
    <w:rsid w:val="000F7D92"/>
    <w:rsid w:val="001062CA"/>
    <w:rsid w:val="001104BF"/>
    <w:rsid w:val="0011125B"/>
    <w:rsid w:val="001212B0"/>
    <w:rsid w:val="0012376B"/>
    <w:rsid w:val="00124D02"/>
    <w:rsid w:val="00125CFC"/>
    <w:rsid w:val="001428BD"/>
    <w:rsid w:val="00157B61"/>
    <w:rsid w:val="00161702"/>
    <w:rsid w:val="00165C99"/>
    <w:rsid w:val="00180D4F"/>
    <w:rsid w:val="0018635E"/>
    <w:rsid w:val="00194B81"/>
    <w:rsid w:val="001A3F7B"/>
    <w:rsid w:val="001B06A6"/>
    <w:rsid w:val="001B5797"/>
    <w:rsid w:val="001B7DFF"/>
    <w:rsid w:val="001C2139"/>
    <w:rsid w:val="001C393D"/>
    <w:rsid w:val="001C63CC"/>
    <w:rsid w:val="001C7F5C"/>
    <w:rsid w:val="001E154E"/>
    <w:rsid w:val="001F1497"/>
    <w:rsid w:val="001F6B4E"/>
    <w:rsid w:val="002046B7"/>
    <w:rsid w:val="00205CBC"/>
    <w:rsid w:val="00211CE6"/>
    <w:rsid w:val="00215B9E"/>
    <w:rsid w:val="00220DB6"/>
    <w:rsid w:val="00220DE9"/>
    <w:rsid w:val="002278E2"/>
    <w:rsid w:val="00235225"/>
    <w:rsid w:val="00267FAB"/>
    <w:rsid w:val="00270D5D"/>
    <w:rsid w:val="0027223F"/>
    <w:rsid w:val="00274BF8"/>
    <w:rsid w:val="00280050"/>
    <w:rsid w:val="00285F6E"/>
    <w:rsid w:val="0029306E"/>
    <w:rsid w:val="00297567"/>
    <w:rsid w:val="002A46DC"/>
    <w:rsid w:val="002B0FF4"/>
    <w:rsid w:val="002B6B9E"/>
    <w:rsid w:val="002D661B"/>
    <w:rsid w:val="002D6990"/>
    <w:rsid w:val="002E55E9"/>
    <w:rsid w:val="002F540B"/>
    <w:rsid w:val="003108DF"/>
    <w:rsid w:val="00317E13"/>
    <w:rsid w:val="003211D3"/>
    <w:rsid w:val="00332AF4"/>
    <w:rsid w:val="00333203"/>
    <w:rsid w:val="003374E9"/>
    <w:rsid w:val="00357341"/>
    <w:rsid w:val="00360A23"/>
    <w:rsid w:val="003A73FE"/>
    <w:rsid w:val="003B048E"/>
    <w:rsid w:val="003C086F"/>
    <w:rsid w:val="003C5987"/>
    <w:rsid w:val="003D01BE"/>
    <w:rsid w:val="003D3F9F"/>
    <w:rsid w:val="003D456A"/>
    <w:rsid w:val="003E08A8"/>
    <w:rsid w:val="003E3578"/>
    <w:rsid w:val="003F672B"/>
    <w:rsid w:val="00411DAD"/>
    <w:rsid w:val="00412EDD"/>
    <w:rsid w:val="00441054"/>
    <w:rsid w:val="004446E1"/>
    <w:rsid w:val="00451A3E"/>
    <w:rsid w:val="00461922"/>
    <w:rsid w:val="0046334C"/>
    <w:rsid w:val="00480C97"/>
    <w:rsid w:val="00496E45"/>
    <w:rsid w:val="004A0558"/>
    <w:rsid w:val="004A5D28"/>
    <w:rsid w:val="004C0F68"/>
    <w:rsid w:val="004C22D2"/>
    <w:rsid w:val="004C5E5E"/>
    <w:rsid w:val="004C6606"/>
    <w:rsid w:val="004C6AA9"/>
    <w:rsid w:val="004F5C1E"/>
    <w:rsid w:val="00520E9D"/>
    <w:rsid w:val="00526E91"/>
    <w:rsid w:val="005315F9"/>
    <w:rsid w:val="00533FA5"/>
    <w:rsid w:val="005407C1"/>
    <w:rsid w:val="00544C04"/>
    <w:rsid w:val="00550535"/>
    <w:rsid w:val="005608D2"/>
    <w:rsid w:val="00570AB2"/>
    <w:rsid w:val="00574C02"/>
    <w:rsid w:val="005758CD"/>
    <w:rsid w:val="00584460"/>
    <w:rsid w:val="005922A6"/>
    <w:rsid w:val="00593E43"/>
    <w:rsid w:val="00595AED"/>
    <w:rsid w:val="005B0F51"/>
    <w:rsid w:val="005B2562"/>
    <w:rsid w:val="005B33A5"/>
    <w:rsid w:val="005B7911"/>
    <w:rsid w:val="005C1F1B"/>
    <w:rsid w:val="005C391A"/>
    <w:rsid w:val="005C4519"/>
    <w:rsid w:val="005D2075"/>
    <w:rsid w:val="005F4625"/>
    <w:rsid w:val="00603C29"/>
    <w:rsid w:val="00605509"/>
    <w:rsid w:val="006062C4"/>
    <w:rsid w:val="00621A9C"/>
    <w:rsid w:val="006221B5"/>
    <w:rsid w:val="006451A3"/>
    <w:rsid w:val="006464E2"/>
    <w:rsid w:val="00651F08"/>
    <w:rsid w:val="00653ECA"/>
    <w:rsid w:val="00691C6E"/>
    <w:rsid w:val="00694EF4"/>
    <w:rsid w:val="00696C37"/>
    <w:rsid w:val="006A3843"/>
    <w:rsid w:val="006A612C"/>
    <w:rsid w:val="006B0D7C"/>
    <w:rsid w:val="006B17EE"/>
    <w:rsid w:val="006B1E4D"/>
    <w:rsid w:val="006D0D53"/>
    <w:rsid w:val="006D3E43"/>
    <w:rsid w:val="006D79FB"/>
    <w:rsid w:val="006F372E"/>
    <w:rsid w:val="006F67E5"/>
    <w:rsid w:val="00703FD2"/>
    <w:rsid w:val="00706F12"/>
    <w:rsid w:val="00710992"/>
    <w:rsid w:val="007115C7"/>
    <w:rsid w:val="00714C87"/>
    <w:rsid w:val="00717C2C"/>
    <w:rsid w:val="00724A10"/>
    <w:rsid w:val="00732034"/>
    <w:rsid w:val="00747CAA"/>
    <w:rsid w:val="007521CD"/>
    <w:rsid w:val="00767771"/>
    <w:rsid w:val="0077009D"/>
    <w:rsid w:val="0077098C"/>
    <w:rsid w:val="00780F72"/>
    <w:rsid w:val="00784258"/>
    <w:rsid w:val="007B155A"/>
    <w:rsid w:val="007B3BDC"/>
    <w:rsid w:val="007C53EC"/>
    <w:rsid w:val="007E11E7"/>
    <w:rsid w:val="007F3489"/>
    <w:rsid w:val="00802A9E"/>
    <w:rsid w:val="00812B7F"/>
    <w:rsid w:val="00814792"/>
    <w:rsid w:val="008167ED"/>
    <w:rsid w:val="00831365"/>
    <w:rsid w:val="00837803"/>
    <w:rsid w:val="0084116C"/>
    <w:rsid w:val="00875E8F"/>
    <w:rsid w:val="008840BE"/>
    <w:rsid w:val="0089346D"/>
    <w:rsid w:val="008C7B7C"/>
    <w:rsid w:val="008D21A1"/>
    <w:rsid w:val="008E4E34"/>
    <w:rsid w:val="008F3DC6"/>
    <w:rsid w:val="008F3FAE"/>
    <w:rsid w:val="00910AE7"/>
    <w:rsid w:val="00913B9E"/>
    <w:rsid w:val="009151B6"/>
    <w:rsid w:val="00915C52"/>
    <w:rsid w:val="00922125"/>
    <w:rsid w:val="009358C6"/>
    <w:rsid w:val="00961B24"/>
    <w:rsid w:val="0096326A"/>
    <w:rsid w:val="0096623B"/>
    <w:rsid w:val="00994884"/>
    <w:rsid w:val="00997C42"/>
    <w:rsid w:val="009A677E"/>
    <w:rsid w:val="009B0C49"/>
    <w:rsid w:val="009B2A93"/>
    <w:rsid w:val="009C02D0"/>
    <w:rsid w:val="009C1EE9"/>
    <w:rsid w:val="009C438C"/>
    <w:rsid w:val="009C5F4A"/>
    <w:rsid w:val="009E6EAE"/>
    <w:rsid w:val="009F018E"/>
    <w:rsid w:val="009F1A2B"/>
    <w:rsid w:val="009F7D99"/>
    <w:rsid w:val="00A10E23"/>
    <w:rsid w:val="00A12280"/>
    <w:rsid w:val="00A14388"/>
    <w:rsid w:val="00A208DB"/>
    <w:rsid w:val="00A74D18"/>
    <w:rsid w:val="00A76306"/>
    <w:rsid w:val="00A85459"/>
    <w:rsid w:val="00A877B7"/>
    <w:rsid w:val="00AA4DE0"/>
    <w:rsid w:val="00AB0873"/>
    <w:rsid w:val="00AB781B"/>
    <w:rsid w:val="00AD2F49"/>
    <w:rsid w:val="00AD6C2E"/>
    <w:rsid w:val="00AE384A"/>
    <w:rsid w:val="00AE7D1A"/>
    <w:rsid w:val="00AE7DA7"/>
    <w:rsid w:val="00AF5BFF"/>
    <w:rsid w:val="00B03035"/>
    <w:rsid w:val="00B40E95"/>
    <w:rsid w:val="00B42588"/>
    <w:rsid w:val="00B431C9"/>
    <w:rsid w:val="00B4570B"/>
    <w:rsid w:val="00B53764"/>
    <w:rsid w:val="00B56072"/>
    <w:rsid w:val="00B5608F"/>
    <w:rsid w:val="00B62ACF"/>
    <w:rsid w:val="00B72B37"/>
    <w:rsid w:val="00B82B9A"/>
    <w:rsid w:val="00B9319E"/>
    <w:rsid w:val="00BA4E20"/>
    <w:rsid w:val="00BB40A4"/>
    <w:rsid w:val="00BF6547"/>
    <w:rsid w:val="00C23CC2"/>
    <w:rsid w:val="00C325D0"/>
    <w:rsid w:val="00C414E9"/>
    <w:rsid w:val="00C46E05"/>
    <w:rsid w:val="00C53D20"/>
    <w:rsid w:val="00C55EFC"/>
    <w:rsid w:val="00C71D4D"/>
    <w:rsid w:val="00C7474B"/>
    <w:rsid w:val="00C756D9"/>
    <w:rsid w:val="00C769A4"/>
    <w:rsid w:val="00CA6192"/>
    <w:rsid w:val="00CA6451"/>
    <w:rsid w:val="00CB19DF"/>
    <w:rsid w:val="00CB42F4"/>
    <w:rsid w:val="00CB492C"/>
    <w:rsid w:val="00CB55C0"/>
    <w:rsid w:val="00CE2014"/>
    <w:rsid w:val="00CF0537"/>
    <w:rsid w:val="00CF081F"/>
    <w:rsid w:val="00CF426B"/>
    <w:rsid w:val="00D03708"/>
    <w:rsid w:val="00D05FE3"/>
    <w:rsid w:val="00D24E7D"/>
    <w:rsid w:val="00D25AB2"/>
    <w:rsid w:val="00D27068"/>
    <w:rsid w:val="00D34CDE"/>
    <w:rsid w:val="00D34D0C"/>
    <w:rsid w:val="00D449C4"/>
    <w:rsid w:val="00D44AB5"/>
    <w:rsid w:val="00D5624B"/>
    <w:rsid w:val="00D65A2E"/>
    <w:rsid w:val="00D661AA"/>
    <w:rsid w:val="00D71F78"/>
    <w:rsid w:val="00D97DA9"/>
    <w:rsid w:val="00DB2094"/>
    <w:rsid w:val="00DB7197"/>
    <w:rsid w:val="00DC43E8"/>
    <w:rsid w:val="00DD119B"/>
    <w:rsid w:val="00DD3ADB"/>
    <w:rsid w:val="00DD484D"/>
    <w:rsid w:val="00DF04EF"/>
    <w:rsid w:val="00DF7298"/>
    <w:rsid w:val="00DF7AE5"/>
    <w:rsid w:val="00E15FEC"/>
    <w:rsid w:val="00E24720"/>
    <w:rsid w:val="00E328A0"/>
    <w:rsid w:val="00E332D7"/>
    <w:rsid w:val="00E403A7"/>
    <w:rsid w:val="00E41B38"/>
    <w:rsid w:val="00E47552"/>
    <w:rsid w:val="00E479F0"/>
    <w:rsid w:val="00E55449"/>
    <w:rsid w:val="00E555E8"/>
    <w:rsid w:val="00E6644A"/>
    <w:rsid w:val="00E672EA"/>
    <w:rsid w:val="00E67AE9"/>
    <w:rsid w:val="00E70AE3"/>
    <w:rsid w:val="00E7313A"/>
    <w:rsid w:val="00E737EA"/>
    <w:rsid w:val="00E8364F"/>
    <w:rsid w:val="00E96EC6"/>
    <w:rsid w:val="00EA14FC"/>
    <w:rsid w:val="00EA29E5"/>
    <w:rsid w:val="00EA40A7"/>
    <w:rsid w:val="00EB2EAC"/>
    <w:rsid w:val="00EB35D4"/>
    <w:rsid w:val="00EB6DA2"/>
    <w:rsid w:val="00EC715C"/>
    <w:rsid w:val="00ED4A7E"/>
    <w:rsid w:val="00ED4CE6"/>
    <w:rsid w:val="00ED5CA2"/>
    <w:rsid w:val="00EE2D85"/>
    <w:rsid w:val="00EF4250"/>
    <w:rsid w:val="00EF5D9E"/>
    <w:rsid w:val="00F01760"/>
    <w:rsid w:val="00F14474"/>
    <w:rsid w:val="00F14D6C"/>
    <w:rsid w:val="00F15FE3"/>
    <w:rsid w:val="00F20A29"/>
    <w:rsid w:val="00F32C57"/>
    <w:rsid w:val="00F33301"/>
    <w:rsid w:val="00F35033"/>
    <w:rsid w:val="00F517A2"/>
    <w:rsid w:val="00F547BD"/>
    <w:rsid w:val="00F62A56"/>
    <w:rsid w:val="00F63530"/>
    <w:rsid w:val="00F63992"/>
    <w:rsid w:val="00F67B31"/>
    <w:rsid w:val="00F75CE4"/>
    <w:rsid w:val="00F812C5"/>
    <w:rsid w:val="00F82FAA"/>
    <w:rsid w:val="00FA3E2E"/>
    <w:rsid w:val="00FA5E53"/>
    <w:rsid w:val="00FA644A"/>
    <w:rsid w:val="00FE154A"/>
    <w:rsid w:val="00FF01E5"/>
    <w:rsid w:val="00FF4F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7EA020C"/>
  <w15:chartTrackingRefBased/>
  <w15:docId w15:val="{F48E07E9-195E-412F-850B-77E68F696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6D07"/>
    <w:pPr>
      <w:spacing w:before="120" w:after="120" w:line="276" w:lineRule="auto"/>
    </w:pPr>
    <w:rPr>
      <w:rFonts w:ascii="Arial" w:hAnsi="Arial"/>
      <w:sz w:val="22"/>
    </w:rPr>
  </w:style>
  <w:style w:type="paragraph" w:styleId="Heading1">
    <w:name w:val="heading 1"/>
    <w:basedOn w:val="Normal"/>
    <w:next w:val="Normal"/>
    <w:link w:val="Heading1Char"/>
    <w:uiPriority w:val="9"/>
    <w:qFormat/>
    <w:rsid w:val="00EA40A7"/>
    <w:pPr>
      <w:keepNext/>
      <w:keepLines/>
      <w:spacing w:before="240" w:after="0"/>
      <w:outlineLvl w:val="0"/>
    </w:pPr>
    <w:rPr>
      <w:rFonts w:eastAsiaTheme="majorEastAsia" w:cstheme="majorBidi"/>
      <w:b/>
      <w:color w:val="00635B"/>
      <w:sz w:val="32"/>
      <w:szCs w:val="32"/>
    </w:rPr>
  </w:style>
  <w:style w:type="paragraph" w:styleId="Heading2">
    <w:name w:val="heading 2"/>
    <w:basedOn w:val="Normal"/>
    <w:next w:val="Normal"/>
    <w:link w:val="Heading2Char"/>
    <w:uiPriority w:val="9"/>
    <w:unhideWhenUsed/>
    <w:qFormat/>
    <w:rsid w:val="00EA40A7"/>
    <w:pPr>
      <w:keepNext/>
      <w:keepLines/>
      <w:spacing w:before="40" w:after="0"/>
      <w:outlineLvl w:val="1"/>
    </w:pPr>
    <w:rPr>
      <w:rFonts w:eastAsiaTheme="majorEastAsia" w:cstheme="majorBidi"/>
      <w:b/>
      <w:color w:val="00635B"/>
      <w:sz w:val="28"/>
      <w:szCs w:val="26"/>
    </w:rPr>
  </w:style>
  <w:style w:type="paragraph" w:styleId="Heading3">
    <w:name w:val="heading 3"/>
    <w:basedOn w:val="Normal"/>
    <w:next w:val="Normal"/>
    <w:link w:val="Heading3Char"/>
    <w:uiPriority w:val="9"/>
    <w:unhideWhenUsed/>
    <w:qFormat/>
    <w:rsid w:val="00EA40A7"/>
    <w:pPr>
      <w:keepNext/>
      <w:keepLines/>
      <w:spacing w:before="40" w:after="0"/>
      <w:outlineLvl w:val="2"/>
    </w:pPr>
    <w:rPr>
      <w:rFonts w:eastAsiaTheme="majorEastAsia" w:cstheme="majorBidi"/>
      <w:b/>
      <w:color w:val="00635B"/>
    </w:rPr>
  </w:style>
  <w:style w:type="paragraph" w:styleId="Heading4">
    <w:name w:val="heading 4"/>
    <w:basedOn w:val="Normal"/>
    <w:next w:val="Normal"/>
    <w:link w:val="Heading4Char"/>
    <w:uiPriority w:val="9"/>
    <w:unhideWhenUsed/>
    <w:qFormat/>
    <w:rsid w:val="005922A6"/>
    <w:pPr>
      <w:keepNext/>
      <w:keepLines/>
      <w:spacing w:before="40" w:after="0"/>
      <w:outlineLvl w:val="3"/>
    </w:pPr>
    <w:rPr>
      <w:rFonts w:eastAsiaTheme="majorEastAsia" w:cstheme="majorBidi"/>
      <w:b/>
      <w:i/>
      <w:iCs/>
      <w:color w:val="00635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67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672B"/>
  </w:style>
  <w:style w:type="paragraph" w:styleId="Footer">
    <w:name w:val="footer"/>
    <w:basedOn w:val="Normal"/>
    <w:link w:val="FooterChar"/>
    <w:uiPriority w:val="99"/>
    <w:unhideWhenUsed/>
    <w:rsid w:val="003F67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672B"/>
  </w:style>
  <w:style w:type="table" w:styleId="TableGrid">
    <w:name w:val="Table Grid"/>
    <w:basedOn w:val="TableNormal"/>
    <w:uiPriority w:val="39"/>
    <w:rsid w:val="00D71F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81F9E"/>
    <w:pPr>
      <w:ind w:left="720"/>
      <w:contextualSpacing/>
    </w:pPr>
  </w:style>
  <w:style w:type="character" w:customStyle="1" w:styleId="Heading1Char">
    <w:name w:val="Heading 1 Char"/>
    <w:basedOn w:val="DefaultParagraphFont"/>
    <w:link w:val="Heading1"/>
    <w:uiPriority w:val="9"/>
    <w:rsid w:val="00EA40A7"/>
    <w:rPr>
      <w:rFonts w:ascii="Arial" w:eastAsiaTheme="majorEastAsia" w:hAnsi="Arial" w:cstheme="majorBidi"/>
      <w:b/>
      <w:color w:val="00635B"/>
      <w:sz w:val="32"/>
      <w:szCs w:val="32"/>
    </w:rPr>
  </w:style>
  <w:style w:type="character" w:customStyle="1" w:styleId="Heading2Char">
    <w:name w:val="Heading 2 Char"/>
    <w:basedOn w:val="DefaultParagraphFont"/>
    <w:link w:val="Heading2"/>
    <w:uiPriority w:val="9"/>
    <w:rsid w:val="00EA40A7"/>
    <w:rPr>
      <w:rFonts w:ascii="Arial" w:eastAsiaTheme="majorEastAsia" w:hAnsi="Arial" w:cstheme="majorBidi"/>
      <w:b/>
      <w:color w:val="00635B"/>
      <w:sz w:val="28"/>
      <w:szCs w:val="26"/>
    </w:rPr>
  </w:style>
  <w:style w:type="character" w:customStyle="1" w:styleId="Heading3Char">
    <w:name w:val="Heading 3 Char"/>
    <w:basedOn w:val="DefaultParagraphFont"/>
    <w:link w:val="Heading3"/>
    <w:uiPriority w:val="9"/>
    <w:rsid w:val="00EA40A7"/>
    <w:rPr>
      <w:rFonts w:ascii="Arial" w:eastAsiaTheme="majorEastAsia" w:hAnsi="Arial" w:cstheme="majorBidi"/>
      <w:b/>
      <w:color w:val="00635B"/>
    </w:rPr>
  </w:style>
  <w:style w:type="character" w:customStyle="1" w:styleId="Heading4Char">
    <w:name w:val="Heading 4 Char"/>
    <w:basedOn w:val="DefaultParagraphFont"/>
    <w:link w:val="Heading4"/>
    <w:uiPriority w:val="9"/>
    <w:rsid w:val="005922A6"/>
    <w:rPr>
      <w:rFonts w:ascii="Arial" w:eastAsiaTheme="majorEastAsia" w:hAnsi="Arial" w:cstheme="majorBidi"/>
      <w:b/>
      <w:i/>
      <w:iCs/>
      <w:color w:val="00635B"/>
      <w:sz w:val="20"/>
    </w:rPr>
  </w:style>
  <w:style w:type="character" w:styleId="Hyperlink">
    <w:name w:val="Hyperlink"/>
    <w:basedOn w:val="DefaultParagraphFont"/>
    <w:uiPriority w:val="99"/>
    <w:unhideWhenUsed/>
    <w:rsid w:val="004C6AA9"/>
    <w:rPr>
      <w:color w:val="0563C1" w:themeColor="hyperlink"/>
      <w:u w:val="single"/>
    </w:rPr>
  </w:style>
  <w:style w:type="paragraph" w:styleId="Title">
    <w:name w:val="Title"/>
    <w:basedOn w:val="Normal"/>
    <w:next w:val="Normal"/>
    <w:link w:val="TitleChar"/>
    <w:uiPriority w:val="10"/>
    <w:qFormat/>
    <w:rsid w:val="00016D07"/>
    <w:pPr>
      <w:contextualSpacing/>
    </w:pPr>
    <w:rPr>
      <w:rFonts w:eastAsiaTheme="majorEastAsia" w:cstheme="majorBidi"/>
      <w:b/>
      <w:color w:val="00635B"/>
      <w:spacing w:val="-10"/>
      <w:kern w:val="28"/>
      <w:sz w:val="56"/>
      <w:szCs w:val="56"/>
    </w:rPr>
  </w:style>
  <w:style w:type="character" w:customStyle="1" w:styleId="TitleChar">
    <w:name w:val="Title Char"/>
    <w:basedOn w:val="DefaultParagraphFont"/>
    <w:link w:val="Title"/>
    <w:uiPriority w:val="10"/>
    <w:rsid w:val="00016D07"/>
    <w:rPr>
      <w:rFonts w:ascii="Arial" w:eastAsiaTheme="majorEastAsia" w:hAnsi="Arial" w:cstheme="majorBidi"/>
      <w:b/>
      <w:color w:val="00635B"/>
      <w:spacing w:val="-10"/>
      <w:kern w:val="28"/>
      <w:sz w:val="56"/>
      <w:szCs w:val="56"/>
    </w:rPr>
  </w:style>
  <w:style w:type="character" w:styleId="CommentReference">
    <w:name w:val="annotation reference"/>
    <w:basedOn w:val="DefaultParagraphFont"/>
    <w:uiPriority w:val="99"/>
    <w:semiHidden/>
    <w:unhideWhenUsed/>
    <w:rsid w:val="00EA40A7"/>
    <w:rPr>
      <w:sz w:val="16"/>
      <w:szCs w:val="16"/>
    </w:rPr>
  </w:style>
  <w:style w:type="paragraph" w:styleId="CommentText">
    <w:name w:val="annotation text"/>
    <w:basedOn w:val="Normal"/>
    <w:link w:val="CommentTextChar"/>
    <w:uiPriority w:val="99"/>
    <w:semiHidden/>
    <w:unhideWhenUsed/>
    <w:rsid w:val="00EA40A7"/>
    <w:pPr>
      <w:spacing w:line="240" w:lineRule="auto"/>
    </w:pPr>
    <w:rPr>
      <w:sz w:val="20"/>
      <w:szCs w:val="20"/>
    </w:rPr>
  </w:style>
  <w:style w:type="character" w:customStyle="1" w:styleId="CommentTextChar">
    <w:name w:val="Comment Text Char"/>
    <w:basedOn w:val="DefaultParagraphFont"/>
    <w:link w:val="CommentText"/>
    <w:uiPriority w:val="99"/>
    <w:semiHidden/>
    <w:rsid w:val="00EA40A7"/>
    <w:rPr>
      <w:sz w:val="20"/>
      <w:szCs w:val="20"/>
    </w:rPr>
  </w:style>
  <w:style w:type="paragraph" w:styleId="CommentSubject">
    <w:name w:val="annotation subject"/>
    <w:basedOn w:val="CommentText"/>
    <w:next w:val="CommentText"/>
    <w:link w:val="CommentSubjectChar"/>
    <w:uiPriority w:val="99"/>
    <w:semiHidden/>
    <w:unhideWhenUsed/>
    <w:rsid w:val="00EA40A7"/>
    <w:rPr>
      <w:b/>
      <w:bCs/>
    </w:rPr>
  </w:style>
  <w:style w:type="character" w:customStyle="1" w:styleId="CommentSubjectChar">
    <w:name w:val="Comment Subject Char"/>
    <w:basedOn w:val="CommentTextChar"/>
    <w:link w:val="CommentSubject"/>
    <w:uiPriority w:val="99"/>
    <w:semiHidden/>
    <w:rsid w:val="00EA40A7"/>
    <w:rPr>
      <w:b/>
      <w:bCs/>
      <w:sz w:val="20"/>
      <w:szCs w:val="20"/>
    </w:rPr>
  </w:style>
  <w:style w:type="paragraph" w:styleId="FootnoteText">
    <w:name w:val="footnote text"/>
    <w:basedOn w:val="Normal"/>
    <w:link w:val="FootnoteTextChar"/>
    <w:uiPriority w:val="99"/>
    <w:semiHidden/>
    <w:unhideWhenUsed/>
    <w:rsid w:val="00317E13"/>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317E13"/>
    <w:rPr>
      <w:rFonts w:ascii="Arial" w:hAnsi="Arial"/>
      <w:sz w:val="20"/>
      <w:szCs w:val="20"/>
    </w:rPr>
  </w:style>
  <w:style w:type="character" w:styleId="FootnoteReference">
    <w:name w:val="footnote reference"/>
    <w:basedOn w:val="DefaultParagraphFont"/>
    <w:uiPriority w:val="99"/>
    <w:semiHidden/>
    <w:unhideWhenUsed/>
    <w:rsid w:val="00317E13"/>
    <w:rPr>
      <w:vertAlign w:val="superscript"/>
    </w:rPr>
  </w:style>
  <w:style w:type="paragraph" w:customStyle="1" w:styleId="Recommendation">
    <w:name w:val="Recommendation"/>
    <w:basedOn w:val="Normal"/>
    <w:qFormat/>
    <w:rsid w:val="009A677E"/>
    <w:pPr>
      <w:shd w:val="clear" w:color="auto" w:fill="E2EFD9" w:themeFill="accent6" w:themeFillTint="33"/>
    </w:pPr>
    <w:rPr>
      <w:b/>
      <w:bCs/>
      <w:i/>
    </w:rPr>
  </w:style>
  <w:style w:type="paragraph" w:customStyle="1" w:styleId="Tableheader">
    <w:name w:val="Table header"/>
    <w:basedOn w:val="Normal"/>
    <w:qFormat/>
    <w:rsid w:val="00161702"/>
    <w:rPr>
      <w:b/>
      <w:bCs/>
    </w:rPr>
  </w:style>
  <w:style w:type="paragraph" w:styleId="TOCHeading">
    <w:name w:val="TOC Heading"/>
    <w:basedOn w:val="Heading1"/>
    <w:next w:val="Normal"/>
    <w:uiPriority w:val="39"/>
    <w:unhideWhenUsed/>
    <w:qFormat/>
    <w:rsid w:val="00DD3ADB"/>
    <w:pPr>
      <w:spacing w:line="259" w:lineRule="auto"/>
      <w:outlineLvl w:val="9"/>
    </w:pPr>
    <w:rPr>
      <w:rFonts w:asciiTheme="majorHAnsi" w:hAnsiTheme="majorHAnsi"/>
      <w:b w:val="0"/>
      <w:color w:val="2E74B5" w:themeColor="accent1" w:themeShade="BF"/>
      <w:lang w:val="en-US"/>
    </w:rPr>
  </w:style>
  <w:style w:type="paragraph" w:styleId="TOC1">
    <w:name w:val="toc 1"/>
    <w:basedOn w:val="Normal"/>
    <w:next w:val="Normal"/>
    <w:autoRedefine/>
    <w:uiPriority w:val="39"/>
    <w:unhideWhenUsed/>
    <w:rsid w:val="00DD3ADB"/>
    <w:pPr>
      <w:spacing w:after="100"/>
    </w:pPr>
  </w:style>
  <w:style w:type="paragraph" w:styleId="TOC2">
    <w:name w:val="toc 2"/>
    <w:basedOn w:val="Normal"/>
    <w:next w:val="Normal"/>
    <w:autoRedefine/>
    <w:uiPriority w:val="39"/>
    <w:unhideWhenUsed/>
    <w:rsid w:val="00DD3ADB"/>
    <w:pPr>
      <w:spacing w:after="100"/>
      <w:ind w:left="220"/>
    </w:pPr>
  </w:style>
  <w:style w:type="paragraph" w:styleId="TOC3">
    <w:name w:val="toc 3"/>
    <w:basedOn w:val="Normal"/>
    <w:next w:val="Normal"/>
    <w:autoRedefine/>
    <w:uiPriority w:val="39"/>
    <w:unhideWhenUsed/>
    <w:rsid w:val="00DD3ADB"/>
    <w:pPr>
      <w:spacing w:after="100"/>
      <w:ind w:left="440"/>
    </w:pPr>
  </w:style>
  <w:style w:type="paragraph" w:styleId="TOC4">
    <w:name w:val="toc 4"/>
    <w:basedOn w:val="Normal"/>
    <w:next w:val="Normal"/>
    <w:autoRedefine/>
    <w:uiPriority w:val="39"/>
    <w:unhideWhenUsed/>
    <w:rsid w:val="00DD3ADB"/>
    <w:pPr>
      <w:spacing w:before="0" w:after="100" w:line="259" w:lineRule="auto"/>
      <w:ind w:left="660"/>
    </w:pPr>
    <w:rPr>
      <w:rFonts w:asciiTheme="minorHAnsi" w:eastAsiaTheme="minorEastAsia" w:hAnsiTheme="minorHAnsi" w:cstheme="minorBidi"/>
      <w:szCs w:val="22"/>
      <w:lang w:eastAsia="en-AU"/>
    </w:rPr>
  </w:style>
  <w:style w:type="paragraph" w:styleId="TOC5">
    <w:name w:val="toc 5"/>
    <w:basedOn w:val="Normal"/>
    <w:next w:val="Normal"/>
    <w:autoRedefine/>
    <w:uiPriority w:val="39"/>
    <w:unhideWhenUsed/>
    <w:rsid w:val="00DD3ADB"/>
    <w:pPr>
      <w:spacing w:before="0" w:after="100" w:line="259" w:lineRule="auto"/>
      <w:ind w:left="880"/>
    </w:pPr>
    <w:rPr>
      <w:rFonts w:asciiTheme="minorHAnsi" w:eastAsiaTheme="minorEastAsia" w:hAnsiTheme="minorHAnsi" w:cstheme="minorBidi"/>
      <w:szCs w:val="22"/>
      <w:lang w:eastAsia="en-AU"/>
    </w:rPr>
  </w:style>
  <w:style w:type="paragraph" w:styleId="TOC6">
    <w:name w:val="toc 6"/>
    <w:basedOn w:val="Normal"/>
    <w:next w:val="Normal"/>
    <w:autoRedefine/>
    <w:uiPriority w:val="39"/>
    <w:unhideWhenUsed/>
    <w:rsid w:val="00DD3ADB"/>
    <w:pPr>
      <w:spacing w:before="0" w:after="100" w:line="259" w:lineRule="auto"/>
      <w:ind w:left="1100"/>
    </w:pPr>
    <w:rPr>
      <w:rFonts w:asciiTheme="minorHAnsi" w:eastAsiaTheme="minorEastAsia" w:hAnsiTheme="minorHAnsi" w:cstheme="minorBidi"/>
      <w:szCs w:val="22"/>
      <w:lang w:eastAsia="en-AU"/>
    </w:rPr>
  </w:style>
  <w:style w:type="paragraph" w:styleId="TOC7">
    <w:name w:val="toc 7"/>
    <w:basedOn w:val="Normal"/>
    <w:next w:val="Normal"/>
    <w:autoRedefine/>
    <w:uiPriority w:val="39"/>
    <w:unhideWhenUsed/>
    <w:rsid w:val="00DD3ADB"/>
    <w:pPr>
      <w:spacing w:before="0" w:after="100" w:line="259" w:lineRule="auto"/>
      <w:ind w:left="1320"/>
    </w:pPr>
    <w:rPr>
      <w:rFonts w:asciiTheme="minorHAnsi" w:eastAsiaTheme="minorEastAsia" w:hAnsiTheme="minorHAnsi" w:cstheme="minorBidi"/>
      <w:szCs w:val="22"/>
      <w:lang w:eastAsia="en-AU"/>
    </w:rPr>
  </w:style>
  <w:style w:type="paragraph" w:styleId="TOC8">
    <w:name w:val="toc 8"/>
    <w:basedOn w:val="Normal"/>
    <w:next w:val="Normal"/>
    <w:autoRedefine/>
    <w:uiPriority w:val="39"/>
    <w:unhideWhenUsed/>
    <w:rsid w:val="00DD3ADB"/>
    <w:pPr>
      <w:spacing w:before="0" w:after="100" w:line="259" w:lineRule="auto"/>
      <w:ind w:left="1540"/>
    </w:pPr>
    <w:rPr>
      <w:rFonts w:asciiTheme="minorHAnsi" w:eastAsiaTheme="minorEastAsia" w:hAnsiTheme="minorHAnsi" w:cstheme="minorBidi"/>
      <w:szCs w:val="22"/>
      <w:lang w:eastAsia="en-AU"/>
    </w:rPr>
  </w:style>
  <w:style w:type="paragraph" w:styleId="TOC9">
    <w:name w:val="toc 9"/>
    <w:basedOn w:val="Normal"/>
    <w:next w:val="Normal"/>
    <w:autoRedefine/>
    <w:uiPriority w:val="39"/>
    <w:unhideWhenUsed/>
    <w:rsid w:val="00DD3ADB"/>
    <w:pPr>
      <w:spacing w:before="0" w:after="100" w:line="259" w:lineRule="auto"/>
      <w:ind w:left="1760"/>
    </w:pPr>
    <w:rPr>
      <w:rFonts w:asciiTheme="minorHAnsi" w:eastAsiaTheme="minorEastAsia" w:hAnsiTheme="minorHAnsi" w:cstheme="minorBidi"/>
      <w:szCs w:val="22"/>
      <w:lang w:eastAsia="en-AU"/>
    </w:rPr>
  </w:style>
  <w:style w:type="character" w:styleId="UnresolvedMention">
    <w:name w:val="Unresolved Mention"/>
    <w:basedOn w:val="DefaultParagraphFont"/>
    <w:uiPriority w:val="99"/>
    <w:semiHidden/>
    <w:unhideWhenUsed/>
    <w:rsid w:val="00DD3A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emf"/><Relationship Id="rId55" Type="http://schemas.openxmlformats.org/officeDocument/2006/relationships/image" Target="media/image44.emf"/><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3.emf"/><Relationship Id="rId62" Type="http://schemas.openxmlformats.org/officeDocument/2006/relationships/image" Target="media/image5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emf"/><Relationship Id="rId58" Type="http://schemas.openxmlformats.org/officeDocument/2006/relationships/image" Target="media/image47.emf"/><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emf"/><Relationship Id="rId57" Type="http://schemas.openxmlformats.org/officeDocument/2006/relationships/image" Target="media/image46.emf"/><Relationship Id="rId61" Type="http://schemas.openxmlformats.org/officeDocument/2006/relationships/image" Target="media/image50.emf"/><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emf"/><Relationship Id="rId60" Type="http://schemas.openxmlformats.org/officeDocument/2006/relationships/image" Target="media/image4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emf"/><Relationship Id="rId56" Type="http://schemas.openxmlformats.org/officeDocument/2006/relationships/image" Target="media/image45.emf"/><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dcf7b372-aaaa-46d8-9da6-ade9aab953df">Ready for review</Status>
    <Reviewer xmlns="dcf7b372-aaaa-46d8-9da6-ade9aab953df" xsi:nil="true"/>
    <_Flow_SignoffStatus xmlns="dcf7b372-aaaa-46d8-9da6-ade9aab953df"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A217076F0871349BCBE5A6EC7EEC4B3" ma:contentTypeVersion="21" ma:contentTypeDescription="Create a new document." ma:contentTypeScope="" ma:versionID="49fa7757e6726fda11e78d34f74dfb5d">
  <xsd:schema xmlns:xsd="http://www.w3.org/2001/XMLSchema" xmlns:xs="http://www.w3.org/2001/XMLSchema" xmlns:p="http://schemas.microsoft.com/office/2006/metadata/properties" xmlns:ns2="dcf7b372-aaaa-46d8-9da6-ade9aab953df" xmlns:ns3="236487dd-ec90-4f99-8970-1318e5f29791" targetNamespace="http://schemas.microsoft.com/office/2006/metadata/properties" ma:root="true" ma:fieldsID="d87a37fdcbbf7bed00bd15239a901d05" ns2:_="" ns3:_="">
    <xsd:import namespace="dcf7b372-aaaa-46d8-9da6-ade9aab953df"/>
    <xsd:import namespace="236487dd-ec90-4f99-8970-1318e5f2979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_Flow_SignoffStatus" minOccurs="0"/>
                <xsd:element ref="ns2:Reviewer"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f7b372-aaaa-46d8-9da6-ade9aab953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Reviewer" ma:index="21" nillable="true" ma:displayName="Reviewer" ma:description="Who is reviewing the content to ensure it is current, accurate and relevant?" ma:format="Dropdown" ma:internalName="Reviewer">
      <xsd:simpleType>
        <xsd:restriction base="dms:Text">
          <xsd:maxLength value="255"/>
        </xsd:restriction>
      </xsd:simpleType>
    </xsd:element>
    <xsd:element name="Status" ma:index="22" nillable="true" ma:displayName="Status" ma:format="Dropdown" ma:internalName="Status">
      <xsd:simpleType>
        <xsd:restriction base="dms:Choice">
          <xsd:enumeration value="Not started"/>
          <xsd:enumeration value="Drafting"/>
          <xsd:enumeration value="Ready for review"/>
          <xsd:enumeration value="Reviewed"/>
          <xsd:enumeration value="Ready for approval"/>
          <xsd:enumeration value="Blocked"/>
          <xsd:enumeration value="Published"/>
          <xsd:enumeration value="Archived"/>
        </xsd:restriction>
      </xsd:simpleType>
    </xsd:element>
  </xsd:schema>
  <xsd:schema xmlns:xsd="http://www.w3.org/2001/XMLSchema" xmlns:xs="http://www.w3.org/2001/XMLSchema" xmlns:dms="http://schemas.microsoft.com/office/2006/documentManagement/types" xmlns:pc="http://schemas.microsoft.com/office/infopath/2007/PartnerControls" targetNamespace="236487dd-ec90-4f99-8970-1318e5f2979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174A04-4501-445C-8FEA-ABE91E404169}">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236487dd-ec90-4f99-8970-1318e5f29791"/>
    <ds:schemaRef ds:uri="dcf7b372-aaaa-46d8-9da6-ade9aab953df"/>
    <ds:schemaRef ds:uri="http://www.w3.org/XML/1998/namespace"/>
    <ds:schemaRef ds:uri="http://purl.org/dc/dcmitype/"/>
  </ds:schemaRefs>
</ds:datastoreItem>
</file>

<file path=customXml/itemProps2.xml><?xml version="1.0" encoding="utf-8"?>
<ds:datastoreItem xmlns:ds="http://schemas.openxmlformats.org/officeDocument/2006/customXml" ds:itemID="{15189968-B45E-4F25-9D2F-88BBC7596656}">
  <ds:schemaRefs>
    <ds:schemaRef ds:uri="http://schemas.openxmlformats.org/officeDocument/2006/bibliography"/>
  </ds:schemaRefs>
</ds:datastoreItem>
</file>

<file path=customXml/itemProps3.xml><?xml version="1.0" encoding="utf-8"?>
<ds:datastoreItem xmlns:ds="http://schemas.openxmlformats.org/officeDocument/2006/customXml" ds:itemID="{13B35E05-6F40-4C83-A76E-A988BFC59688}">
  <ds:schemaRefs>
    <ds:schemaRef ds:uri="http://schemas.microsoft.com/sharepoint/v3/contenttype/forms"/>
  </ds:schemaRefs>
</ds:datastoreItem>
</file>

<file path=customXml/itemProps4.xml><?xml version="1.0" encoding="utf-8"?>
<ds:datastoreItem xmlns:ds="http://schemas.openxmlformats.org/officeDocument/2006/customXml" ds:itemID="{1DFCE43A-64A2-4974-8870-441C59A59A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f7b372-aaaa-46d8-9da6-ade9aab953df"/>
    <ds:schemaRef ds:uri="236487dd-ec90-4f99-8970-1318e5f297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447</TotalTime>
  <Pages>165</Pages>
  <Words>41238</Words>
  <Characters>235061</Characters>
  <Application>Microsoft Office Word</Application>
  <DocSecurity>0</DocSecurity>
  <Lines>1958</Lines>
  <Paragraphs>551</Paragraphs>
  <ScaleCrop>false</ScaleCrop>
  <HeadingPairs>
    <vt:vector size="2" baseType="variant">
      <vt:variant>
        <vt:lpstr>Title</vt:lpstr>
      </vt:variant>
      <vt:variant>
        <vt:i4>1</vt:i4>
      </vt:variant>
    </vt:vector>
  </HeadingPairs>
  <TitlesOfParts>
    <vt:vector size="1" baseType="lpstr">
      <vt:lpstr/>
    </vt:vector>
  </TitlesOfParts>
  <Company>Department of Health</Company>
  <LinksUpToDate>false</LinksUpToDate>
  <CharactersWithSpaces>275748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Statutory review of the Gene Technology Act 2000 and the Gene Technology Agreement</dc:title>
  <dc:subject>Gene technology</dc:subject>
  <dc:creator>National Gene Technology Scheme</dc:creator>
  <cp:keywords>First review</cp:keywords>
  <dc:description/>
  <cp:lastModifiedBy>MCCAY, Meryl</cp:lastModifiedBy>
  <cp:revision>171</cp:revision>
  <dcterms:created xsi:type="dcterms:W3CDTF">2022-02-08T04:28:00Z</dcterms:created>
  <dcterms:modified xsi:type="dcterms:W3CDTF">2022-02-09T08:14:00Z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0x010100BA217076F0871349BCBE5A6EC7EEC4B3</vt:lpwstr>
  </property>
</Properties>
</file>