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E975" w14:textId="77777777" w:rsidR="00C97F1E" w:rsidRPr="00F8142D" w:rsidRDefault="00504174" w:rsidP="00F8142D">
      <w:pPr>
        <w:pStyle w:val="Heading1"/>
      </w:pPr>
      <w:r w:rsidRPr="00F8142D">
        <w:t xml:space="preserve">2011 Review of the </w:t>
      </w:r>
      <w:r w:rsidRPr="00F8142D">
        <w:t xml:space="preserve">Gene Technology Act 2000 </w:t>
      </w:r>
      <w:r w:rsidRPr="00F8142D">
        <w:t>(GT Act)</w:t>
      </w:r>
      <w:r w:rsidRPr="00F8142D">
        <w:t xml:space="preserve"> </w:t>
      </w:r>
      <w:r w:rsidRPr="00F8142D">
        <w:t>Terms</w:t>
      </w:r>
      <w:r w:rsidRPr="00F8142D">
        <w:t xml:space="preserve"> </w:t>
      </w:r>
      <w:r w:rsidRPr="00F8142D">
        <w:t>of Reference</w:t>
      </w:r>
    </w:p>
    <w:p w14:paraId="7AD51893" w14:textId="77777777" w:rsidR="00C97F1E" w:rsidRDefault="00504174" w:rsidP="00F8142D">
      <w:r>
        <w:t xml:space="preserve">In 2006, the </w:t>
      </w:r>
      <w:r>
        <w:rPr>
          <w:i/>
        </w:rPr>
        <w:t>Statutory Review of the Gene Technology Act 2000 and the Gene Technology</w:t>
      </w:r>
      <w:r>
        <w:rPr>
          <w:i/>
          <w:spacing w:val="1"/>
        </w:rPr>
        <w:t xml:space="preserve"> </w:t>
      </w:r>
      <w:r>
        <w:rPr>
          <w:i/>
        </w:rPr>
        <w:t xml:space="preserve">Agreement </w:t>
      </w:r>
      <w:r>
        <w:t>recommended that the Act be reviewed in five years to ensure that it continues to</w:t>
      </w:r>
      <w:r>
        <w:rPr>
          <w:spacing w:val="1"/>
        </w:rPr>
        <w:t xml:space="preserve"> </w:t>
      </w:r>
      <w:r>
        <w:t>accommodate emerging trends (recommendation 8.1).</w:t>
      </w:r>
      <w:r>
        <w:rPr>
          <w:spacing w:val="1"/>
        </w:rPr>
        <w:t xml:space="preserve"> </w:t>
      </w:r>
      <w:r>
        <w:t>In establishing this review, the Gene</w:t>
      </w:r>
      <w:r>
        <w:rPr>
          <w:spacing w:val="1"/>
        </w:rPr>
        <w:t xml:space="preserve"> </w:t>
      </w:r>
      <w:r>
        <w:t>Technology Ministerial Council (the Ministerial Council) is aware of the Australian Go</w:t>
      </w:r>
      <w:r>
        <w:t>vernment’s</w:t>
      </w:r>
      <w:r>
        <w:rPr>
          <w:spacing w:val="1"/>
        </w:rPr>
        <w:t xml:space="preserve"> </w:t>
      </w:r>
      <w:r>
        <w:t>position on biotechnology and the experience of the Gene Technology Regulator and his office in the</w:t>
      </w:r>
      <w:r>
        <w:rPr>
          <w:spacing w:val="-59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Gene</w:t>
      </w:r>
      <w:r>
        <w:rPr>
          <w:i/>
          <w:spacing w:val="-4"/>
        </w:rPr>
        <w:t xml:space="preserve"> </w:t>
      </w:r>
      <w:r>
        <w:rPr>
          <w:i/>
        </w:rPr>
        <w:t>Technology</w:t>
      </w:r>
      <w:r>
        <w:rPr>
          <w:i/>
          <w:spacing w:val="-1"/>
        </w:rPr>
        <w:t xml:space="preserve"> </w:t>
      </w:r>
      <w:r>
        <w:rPr>
          <w:i/>
        </w:rPr>
        <w:t>Act</w:t>
      </w:r>
      <w:r>
        <w:rPr>
          <w:i/>
          <w:spacing w:val="-2"/>
        </w:rPr>
        <w:t xml:space="preserve"> </w:t>
      </w:r>
      <w:r>
        <w:rPr>
          <w:i/>
        </w:rPr>
        <w:t>2000</w:t>
      </w:r>
      <w:r>
        <w:rPr>
          <w:i/>
          <w:spacing w:val="-4"/>
        </w:rPr>
        <w:t xml:space="preserve"> </w:t>
      </w:r>
      <w:r>
        <w:rPr>
          <w:i/>
        </w:rPr>
        <w:t>(Commonwealth)</w:t>
      </w:r>
      <w:r>
        <w:rPr>
          <w:i/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Act)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2005-06</w:t>
      </w:r>
      <w:r>
        <w:rPr>
          <w:spacing w:val="-4"/>
        </w:rPr>
        <w:t xml:space="preserve"> </w:t>
      </w:r>
      <w:r>
        <w:t>review.</w:t>
      </w:r>
    </w:p>
    <w:p w14:paraId="536E6BD2" w14:textId="77777777" w:rsidR="00C97F1E" w:rsidRDefault="00504174" w:rsidP="00F8142D"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investigate:</w:t>
      </w:r>
    </w:p>
    <w:p w14:paraId="4E2B2EF4" w14:textId="77777777" w:rsidR="00C97F1E" w:rsidRPr="00F8142D" w:rsidRDefault="00504174" w:rsidP="00F8142D">
      <w:pPr>
        <w:pStyle w:val="ListParagraph"/>
        <w:numPr>
          <w:ilvl w:val="0"/>
          <w:numId w:val="5"/>
        </w:numPr>
        <w:spacing w:after="0"/>
        <w:ind w:left="714" w:hanging="357"/>
      </w:pPr>
      <w:r w:rsidRPr="00F8142D">
        <w:t>emerging</w:t>
      </w:r>
      <w:r w:rsidRPr="00F8142D">
        <w:t xml:space="preserve"> </w:t>
      </w:r>
      <w:r w:rsidRPr="00F8142D">
        <w:t>trends</w:t>
      </w:r>
      <w:r w:rsidRPr="00F8142D">
        <w:t xml:space="preserve"> </w:t>
      </w:r>
      <w:r w:rsidRPr="00F8142D">
        <w:t>and</w:t>
      </w:r>
      <w:r w:rsidRPr="00F8142D">
        <w:t xml:space="preserve"> </w:t>
      </w:r>
      <w:r w:rsidRPr="00F8142D">
        <w:t>international</w:t>
      </w:r>
      <w:r w:rsidRPr="00F8142D">
        <w:t xml:space="preserve"> </w:t>
      </w:r>
      <w:r w:rsidRPr="00F8142D">
        <w:t>developments</w:t>
      </w:r>
      <w:r w:rsidRPr="00F8142D">
        <w:t xml:space="preserve"> </w:t>
      </w:r>
      <w:r w:rsidRPr="00F8142D">
        <w:t>in</w:t>
      </w:r>
      <w:r w:rsidRPr="00F8142D">
        <w:t xml:space="preserve"> </w:t>
      </w:r>
      <w:r w:rsidRPr="00F8142D">
        <w:t>biotechnology</w:t>
      </w:r>
      <w:r w:rsidRPr="00F8142D">
        <w:t xml:space="preserve"> </w:t>
      </w:r>
      <w:r w:rsidRPr="00F8142D">
        <w:t>and</w:t>
      </w:r>
      <w:r w:rsidRPr="00F8142D">
        <w:t xml:space="preserve"> </w:t>
      </w:r>
      <w:r w:rsidRPr="00F8142D">
        <w:t>its</w:t>
      </w:r>
      <w:r w:rsidRPr="00F8142D">
        <w:t xml:space="preserve"> </w:t>
      </w:r>
      <w:proofErr w:type="gramStart"/>
      <w:r w:rsidRPr="00F8142D">
        <w:t>regulation;</w:t>
      </w:r>
      <w:proofErr w:type="gramEnd"/>
    </w:p>
    <w:p w14:paraId="69B53469" w14:textId="77777777" w:rsidR="00C97F1E" w:rsidRPr="00F8142D" w:rsidRDefault="00504174" w:rsidP="00F8142D">
      <w:pPr>
        <w:pStyle w:val="ListParagraph"/>
        <w:numPr>
          <w:ilvl w:val="0"/>
          <w:numId w:val="5"/>
        </w:numPr>
        <w:spacing w:after="0"/>
        <w:ind w:left="714" w:hanging="357"/>
      </w:pPr>
      <w:r w:rsidRPr="00F8142D">
        <w:t>the efficiency and effectiveness of the operation of the Act consistently across the national</w:t>
      </w:r>
      <w:r w:rsidRPr="00F8142D">
        <w:t xml:space="preserve"> </w:t>
      </w:r>
      <w:r w:rsidRPr="00F8142D">
        <w:t>scheme</w:t>
      </w:r>
      <w:r w:rsidRPr="00F8142D">
        <w:t xml:space="preserve"> </w:t>
      </w:r>
      <w:r w:rsidRPr="00F8142D">
        <w:t>for</w:t>
      </w:r>
      <w:r w:rsidRPr="00F8142D">
        <w:t xml:space="preserve"> </w:t>
      </w:r>
      <w:r w:rsidRPr="00F8142D">
        <w:t>gene</w:t>
      </w:r>
      <w:r w:rsidRPr="00F8142D">
        <w:t xml:space="preserve"> </w:t>
      </w:r>
      <w:r w:rsidRPr="00F8142D">
        <w:t>technology</w:t>
      </w:r>
      <w:r w:rsidRPr="00F8142D">
        <w:t xml:space="preserve"> </w:t>
      </w:r>
      <w:r w:rsidRPr="00F8142D">
        <w:t>regulation</w:t>
      </w:r>
      <w:r w:rsidRPr="00F8142D">
        <w:t xml:space="preserve"> </w:t>
      </w:r>
      <w:r w:rsidRPr="00F8142D">
        <w:t>in</w:t>
      </w:r>
      <w:r w:rsidRPr="00F8142D">
        <w:t xml:space="preserve"> </w:t>
      </w:r>
      <w:r w:rsidRPr="00F8142D">
        <w:t>Australia;</w:t>
      </w:r>
      <w:r w:rsidRPr="00F8142D">
        <w:t xml:space="preserve"> </w:t>
      </w:r>
      <w:r w:rsidRPr="00F8142D">
        <w:t>and</w:t>
      </w:r>
    </w:p>
    <w:p w14:paraId="67A87DF4" w14:textId="77777777" w:rsidR="00C97F1E" w:rsidRPr="00F8142D" w:rsidRDefault="00504174" w:rsidP="00F8142D">
      <w:pPr>
        <w:pStyle w:val="ListParagraph"/>
        <w:numPr>
          <w:ilvl w:val="0"/>
          <w:numId w:val="5"/>
        </w:numPr>
        <w:spacing w:after="0"/>
        <w:ind w:left="714" w:hanging="357"/>
      </w:pPr>
      <w:r w:rsidRPr="00F8142D">
        <w:t>the</w:t>
      </w:r>
      <w:r w:rsidRPr="00F8142D">
        <w:t xml:space="preserve"> </w:t>
      </w:r>
      <w:r w:rsidRPr="00F8142D">
        <w:t>interface</w:t>
      </w:r>
      <w:r w:rsidRPr="00F8142D">
        <w:t xml:space="preserve"> </w:t>
      </w:r>
      <w:r w:rsidRPr="00F8142D">
        <w:t>between</w:t>
      </w:r>
      <w:r w:rsidRPr="00F8142D">
        <w:t xml:space="preserve"> </w:t>
      </w:r>
      <w:r w:rsidRPr="00F8142D">
        <w:t>the</w:t>
      </w:r>
      <w:r w:rsidRPr="00F8142D">
        <w:t xml:space="preserve"> </w:t>
      </w:r>
      <w:r w:rsidRPr="00F8142D">
        <w:t>Act</w:t>
      </w:r>
      <w:r w:rsidRPr="00F8142D">
        <w:t xml:space="preserve"> </w:t>
      </w:r>
      <w:r w:rsidRPr="00F8142D">
        <w:t>and</w:t>
      </w:r>
      <w:r w:rsidRPr="00F8142D">
        <w:t xml:space="preserve"> </w:t>
      </w:r>
      <w:r w:rsidRPr="00F8142D">
        <w:t>other</w:t>
      </w:r>
      <w:r w:rsidRPr="00F8142D">
        <w:t xml:space="preserve"> </w:t>
      </w:r>
      <w:r w:rsidRPr="00F8142D">
        <w:t>sy</w:t>
      </w:r>
      <w:r w:rsidRPr="00F8142D">
        <w:t>stems</w:t>
      </w:r>
      <w:r w:rsidRPr="00F8142D">
        <w:t xml:space="preserve"> </w:t>
      </w:r>
      <w:r w:rsidRPr="00F8142D">
        <w:t>(</w:t>
      </w:r>
      <w:proofErr w:type="gramStart"/>
      <w:r w:rsidRPr="00F8142D">
        <w:t>e.g.</w:t>
      </w:r>
      <w:proofErr w:type="gramEnd"/>
      <w:r w:rsidRPr="00F8142D">
        <w:t xml:space="preserve"> other</w:t>
      </w:r>
      <w:r w:rsidRPr="00F8142D">
        <w:t xml:space="preserve"> </w:t>
      </w:r>
      <w:r w:rsidRPr="00F8142D">
        <w:t>Acts</w:t>
      </w:r>
      <w:r w:rsidRPr="00F8142D">
        <w:t xml:space="preserve"> </w:t>
      </w:r>
      <w:r w:rsidRPr="00F8142D">
        <w:t>and</w:t>
      </w:r>
      <w:r w:rsidRPr="00F8142D">
        <w:t xml:space="preserve"> </w:t>
      </w:r>
      <w:r w:rsidRPr="00F8142D">
        <w:t>schemes).</w:t>
      </w:r>
    </w:p>
    <w:p w14:paraId="5EC34BF0" w14:textId="77777777" w:rsidR="00C97F1E" w:rsidRDefault="00504174" w:rsidP="00F8142D">
      <w:r>
        <w:t>Person/s undertaking the review are to advertise nationally, receive submissions from interested</w:t>
      </w:r>
      <w:r>
        <w:rPr>
          <w:spacing w:val="-59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take</w:t>
      </w:r>
      <w:r>
        <w:rPr>
          <w:spacing w:val="-2"/>
        </w:rPr>
        <w:t xml:space="preserve"> </w:t>
      </w:r>
      <w:r>
        <w:t>into account</w:t>
      </w:r>
      <w:proofErr w:type="gramEnd"/>
      <w:r>
        <w:rPr>
          <w:spacing w:val="1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experience.</w:t>
      </w:r>
    </w:p>
    <w:p w14:paraId="46C0DFFD" w14:textId="77777777" w:rsidR="00C97F1E" w:rsidRPr="00F8142D" w:rsidRDefault="00504174" w:rsidP="00F8142D">
      <w:pPr>
        <w:pStyle w:val="Heading2"/>
      </w:pPr>
      <w:r w:rsidRPr="00F8142D">
        <w:t>Background</w:t>
      </w:r>
    </w:p>
    <w:p w14:paraId="705DCD57" w14:textId="77777777" w:rsidR="00C97F1E" w:rsidRDefault="00504174" w:rsidP="00F8142D">
      <w:r>
        <w:t>The Act is the Australian Government’s component of the nationally consistent regulatory scheme for</w:t>
      </w:r>
      <w:r>
        <w:rPr>
          <w:spacing w:val="-59"/>
        </w:rPr>
        <w:t xml:space="preserve"> </w:t>
      </w:r>
      <w:r>
        <w:t>gene technology in Australia.</w:t>
      </w:r>
      <w:r>
        <w:rPr>
          <w:spacing w:val="1"/>
        </w:rPr>
        <w:t xml:space="preserve"> </w:t>
      </w:r>
      <w:r>
        <w:t>The object of the Act is to protect the health and safety of people and</w:t>
      </w:r>
      <w:r>
        <w:rPr>
          <w:spacing w:val="1"/>
        </w:rPr>
        <w:t xml:space="preserve"> </w:t>
      </w:r>
      <w:r>
        <w:t xml:space="preserve">the environment from risks posed by, or </w:t>
      </w:r>
      <w:proofErr w:type="gramStart"/>
      <w:r>
        <w:t>as a result of</w:t>
      </w:r>
      <w:proofErr w:type="gramEnd"/>
      <w:r>
        <w:t>, gene technology by identifying those risks and</w:t>
      </w:r>
      <w:r>
        <w:rPr>
          <w:spacing w:val="-59"/>
        </w:rPr>
        <w:t xml:space="preserve"> </w:t>
      </w:r>
      <w:r>
        <w:t>managing them by regulating certain dealings with genetically modified organisms (GMOs).</w:t>
      </w:r>
      <w:r>
        <w:rPr>
          <w:spacing w:val="1"/>
        </w:rPr>
        <w:t xml:space="preserve"> </w:t>
      </w:r>
      <w:r>
        <w:t>The Act</w:t>
      </w:r>
      <w:r>
        <w:rPr>
          <w:spacing w:val="1"/>
        </w:rPr>
        <w:t xml:space="preserve"> </w:t>
      </w:r>
      <w:r>
        <w:t>establishes a regulatory framework through which its object is to be achieved.</w:t>
      </w:r>
      <w:r>
        <w:rPr>
          <w:spacing w:val="1"/>
        </w:rPr>
        <w:t xml:space="preserve"> </w:t>
      </w:r>
      <w:r>
        <w:t>This framework</w:t>
      </w:r>
      <w:r>
        <w:rPr>
          <w:spacing w:val="1"/>
        </w:rPr>
        <w:t xml:space="preserve"> </w:t>
      </w:r>
      <w:r>
        <w:t>provides for a p</w:t>
      </w:r>
      <w:r>
        <w:t>recautionary approach and an efficient and effective system for the application of</w:t>
      </w:r>
      <w:r>
        <w:rPr>
          <w:spacing w:val="1"/>
        </w:rPr>
        <w:t xml:space="preserve"> </w:t>
      </w:r>
      <w:r>
        <w:t>gene technologies that is intended to operate in conjunction with other Australian Government and</w:t>
      </w:r>
      <w:r>
        <w:rPr>
          <w:spacing w:val="1"/>
        </w:rPr>
        <w:t xml:space="preserve"> </w:t>
      </w:r>
      <w:r>
        <w:t>State and</w:t>
      </w:r>
      <w:r>
        <w:rPr>
          <w:spacing w:val="-3"/>
        </w:rPr>
        <w:t xml:space="preserve"> </w:t>
      </w:r>
      <w:r>
        <w:t>Territory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GMOs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products.</w:t>
      </w:r>
    </w:p>
    <w:p w14:paraId="3CA5C027" w14:textId="77777777" w:rsidR="00C97F1E" w:rsidRDefault="00504174" w:rsidP="00F8142D">
      <w:r>
        <w:t>A review of the Act was completed and tabled in Parliament on 27 April 2006 in accordance with the</w:t>
      </w:r>
      <w:r>
        <w:rPr>
          <w:spacing w:val="-59"/>
        </w:rPr>
        <w:t xml:space="preserve"> </w:t>
      </w:r>
      <w:r>
        <w:t>provisions of section 194 of the Act which stipulated that the Ministerial Council must cause an</w:t>
      </w:r>
      <w:r>
        <w:rPr>
          <w:spacing w:val="1"/>
        </w:rPr>
        <w:t xml:space="preserve"> </w:t>
      </w:r>
      <w:r>
        <w:t>independent review of the operation of the Act as soon as po</w:t>
      </w:r>
      <w:r>
        <w:t>ssible after the fourth anniversary of</w:t>
      </w:r>
      <w:r>
        <w:rPr>
          <w:spacing w:val="1"/>
        </w:rPr>
        <w:t xml:space="preserve"> </w:t>
      </w:r>
      <w:r>
        <w:t>commencement of the Act.</w:t>
      </w:r>
      <w:r>
        <w:rPr>
          <w:spacing w:val="1"/>
        </w:rPr>
        <w:t xml:space="preserve"> </w:t>
      </w:r>
      <w:r>
        <w:t>The 2006 review recommended that the next review focus on the</w:t>
      </w:r>
      <w:r>
        <w:rPr>
          <w:spacing w:val="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 emerging trends.</w:t>
      </w:r>
    </w:p>
    <w:p w14:paraId="73B1ADB3" w14:textId="77777777" w:rsidR="00C97F1E" w:rsidRDefault="00504174" w:rsidP="00F8142D">
      <w:r>
        <w:t>An outcome of the last review recommended focus on the continued abi</w:t>
      </w:r>
      <w:r>
        <w:t>lity of the Act to</w:t>
      </w:r>
      <w:r>
        <w:rPr>
          <w:spacing w:val="-59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emerging trends.</w:t>
      </w:r>
    </w:p>
    <w:p w14:paraId="749B2D53" w14:textId="77777777" w:rsidR="00C97F1E" w:rsidRDefault="00504174" w:rsidP="00F8142D">
      <w:r>
        <w:t>Clause 44 of the Intergovernmental Agreement on Gene Technology (the Agreement) requires that</w:t>
      </w:r>
      <w:r>
        <w:rPr>
          <w:spacing w:val="1"/>
        </w:rPr>
        <w:t xml:space="preserve"> </w:t>
      </w:r>
      <w:r>
        <w:t>the Agreement and the Scheme be reviewed no later than four years after the commencement of the</w:t>
      </w:r>
      <w:r>
        <w:rPr>
          <w:spacing w:val="-59"/>
        </w:rPr>
        <w:t xml:space="preserve"> </w:t>
      </w:r>
      <w:r>
        <w:t>Agreement, with f</w:t>
      </w:r>
      <w:r>
        <w:t>urther reviews to be conducted at intervals of no more than five years.</w:t>
      </w:r>
      <w:r>
        <w:rPr>
          <w:spacing w:val="1"/>
        </w:rPr>
        <w:t xml:space="preserve"> </w:t>
      </w:r>
      <w:r>
        <w:t>As such a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should commence</w:t>
      </w:r>
      <w:r>
        <w:rPr>
          <w:spacing w:val="1"/>
        </w:rPr>
        <w:t xml:space="preserve"> </w:t>
      </w:r>
      <w:r>
        <w:t>in 2011.</w:t>
      </w:r>
    </w:p>
    <w:p w14:paraId="678F58C5" w14:textId="77777777" w:rsidR="00C97F1E" w:rsidRPr="00F8142D" w:rsidRDefault="00504174" w:rsidP="00F8142D">
      <w:pPr>
        <w:pStyle w:val="Heading2"/>
      </w:pPr>
      <w:r w:rsidRPr="00F8142D">
        <w:t>Terms</w:t>
      </w:r>
      <w:r w:rsidRPr="00F8142D">
        <w:t xml:space="preserve"> </w:t>
      </w:r>
      <w:r w:rsidRPr="00F8142D">
        <w:t>of</w:t>
      </w:r>
      <w:r w:rsidRPr="00F8142D">
        <w:t xml:space="preserve"> </w:t>
      </w:r>
      <w:r w:rsidRPr="00F8142D">
        <w:t>Reference</w:t>
      </w:r>
    </w:p>
    <w:p w14:paraId="014D5C48" w14:textId="77777777" w:rsidR="00C97F1E" w:rsidRDefault="00504174" w:rsidP="00F8142D">
      <w:r>
        <w:t>The Ministerial Council has established the following Terms of Reference (</w:t>
      </w:r>
      <w:proofErr w:type="spellStart"/>
      <w:r>
        <w:t>ToR</w:t>
      </w:r>
      <w:proofErr w:type="spellEnd"/>
      <w:r>
        <w:t>) for the review of the</w:t>
      </w:r>
      <w:r>
        <w:rPr>
          <w:spacing w:val="-59"/>
        </w:rPr>
        <w:t xml:space="preserve"> </w:t>
      </w:r>
      <w:r>
        <w:t>operation of the Act. The review will be limited to issues within the scope of the current object of the</w:t>
      </w:r>
      <w:r>
        <w:rPr>
          <w:spacing w:val="1"/>
        </w:rPr>
        <w:t xml:space="preserve"> </w:t>
      </w:r>
      <w:r>
        <w:t>Act which focuses on the health and safety of peop</w:t>
      </w:r>
      <w:r>
        <w:t>le and the environment. The review should take</w:t>
      </w:r>
      <w:r>
        <w:rPr>
          <w:spacing w:val="1"/>
        </w:rPr>
        <w:t xml:space="preserve"> </w:t>
      </w:r>
      <w:r>
        <w:lastRenderedPageBreak/>
        <w:t>into consideration the findings and recommendations of the 2005-06 review. The review will include,</w:t>
      </w:r>
      <w:r>
        <w:rPr>
          <w:spacing w:val="-59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35B6BF98" w14:textId="77777777" w:rsidR="00C97F1E" w:rsidRPr="00F8142D" w:rsidRDefault="00504174" w:rsidP="00F8142D">
      <w:pPr>
        <w:pStyle w:val="ListParagraph"/>
        <w:numPr>
          <w:ilvl w:val="0"/>
          <w:numId w:val="6"/>
        </w:numPr>
        <w:ind w:left="426" w:hanging="426"/>
        <w:rPr>
          <w:b/>
        </w:rPr>
      </w:pPr>
      <w:r w:rsidRPr="00F8142D">
        <w:rPr>
          <w:b/>
        </w:rPr>
        <w:t>Examine</w:t>
      </w:r>
      <w:r w:rsidRPr="00F8142D">
        <w:rPr>
          <w:b/>
        </w:rPr>
        <w:t xml:space="preserve"> </w:t>
      </w:r>
      <w:r w:rsidRPr="00F8142D">
        <w:rPr>
          <w:b/>
        </w:rPr>
        <w:t>and</w:t>
      </w:r>
      <w:r w:rsidRPr="00F8142D">
        <w:rPr>
          <w:b/>
        </w:rPr>
        <w:t xml:space="preserve"> </w:t>
      </w:r>
      <w:r w:rsidRPr="00F8142D">
        <w:rPr>
          <w:b/>
        </w:rPr>
        <w:t>review:</w:t>
      </w:r>
    </w:p>
    <w:p w14:paraId="3EE10452" w14:textId="77777777" w:rsidR="00C97F1E" w:rsidRDefault="00504174" w:rsidP="00504174">
      <w:pPr>
        <w:pStyle w:val="ListParagraph"/>
        <w:numPr>
          <w:ilvl w:val="1"/>
          <w:numId w:val="3"/>
        </w:numPr>
        <w:ind w:left="833" w:right="499" w:hanging="408"/>
      </w:pPr>
      <w:r>
        <w:rPr>
          <w:b/>
        </w:rPr>
        <w:t>T</w:t>
      </w:r>
      <w:r>
        <w:rPr>
          <w:b/>
        </w:rPr>
        <w:t xml:space="preserve">he effectiveness and efficiency </w:t>
      </w:r>
      <w:r>
        <w:t>of the way that the regulatory s</w:t>
      </w:r>
      <w:r>
        <w:t>cheme operates, taking</w:t>
      </w:r>
      <w:r>
        <w:rPr>
          <w:spacing w:val="-59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 developments</w:t>
      </w:r>
      <w:r>
        <w:rPr>
          <w:spacing w:val="-3"/>
        </w:rPr>
        <w:t xml:space="preserve"> </w:t>
      </w:r>
      <w:r>
        <w:t>since 2005-06 including:</w:t>
      </w:r>
    </w:p>
    <w:p w14:paraId="28A8B235" w14:textId="77777777" w:rsidR="00C97F1E" w:rsidRDefault="00504174" w:rsidP="00504174">
      <w:pPr>
        <w:pStyle w:val="ListParagraph"/>
        <w:numPr>
          <w:ilvl w:val="0"/>
          <w:numId w:val="2"/>
        </w:numPr>
        <w:spacing w:before="79"/>
        <w:ind w:left="1418" w:right="312" w:hanging="567"/>
      </w:pPr>
      <w:r>
        <w:t>the national scheme for gene technology regulation in Australia to identify any need for,</w:t>
      </w:r>
      <w:r>
        <w:rPr>
          <w:spacing w:val="1"/>
        </w:rPr>
        <w:t xml:space="preserve"> </w:t>
      </w:r>
      <w:r>
        <w:t>and opportunities to achieve, improvement in its national consistency, efficie</w:t>
      </w:r>
      <w:r>
        <w:t>ncy and</w:t>
      </w:r>
      <w:r>
        <w:rPr>
          <w:spacing w:val="1"/>
        </w:rPr>
        <w:t xml:space="preserve"> </w:t>
      </w:r>
      <w:r>
        <w:t>effectiveness and coordination; and investigate if the aims of the Agreement to determine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are being </w:t>
      </w:r>
      <w:proofErr w:type="gramStart"/>
      <w:r>
        <w:t>achieved;</w:t>
      </w:r>
      <w:proofErr w:type="gramEnd"/>
    </w:p>
    <w:p w14:paraId="48E3C1D6" w14:textId="77777777" w:rsidR="00C97F1E" w:rsidRDefault="00504174" w:rsidP="00F8142D">
      <w:pPr>
        <w:pStyle w:val="ListParagraph"/>
        <w:numPr>
          <w:ilvl w:val="0"/>
          <w:numId w:val="2"/>
        </w:numPr>
        <w:ind w:left="1418" w:right="300" w:hanging="567"/>
      </w:pPr>
      <w:r>
        <w:t>emerging trends and international developments in biotechnology and its regulation and</w:t>
      </w:r>
      <w:r>
        <w:rPr>
          <w:spacing w:val="1"/>
        </w:rPr>
        <w:t xml:space="preserve"> </w:t>
      </w:r>
      <w:r>
        <w:t xml:space="preserve">whether the regulatory system stipulated by </w:t>
      </w:r>
      <w:r>
        <w:t>the Act, including definitions within the Act, is</w:t>
      </w:r>
      <w:r>
        <w:rPr>
          <w:spacing w:val="-59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circumstances;</w:t>
      </w:r>
      <w:r>
        <w:rPr>
          <w:spacing w:val="5"/>
        </w:rPr>
        <w:t xml:space="preserve"> </w:t>
      </w:r>
      <w:r>
        <w:t>and</w:t>
      </w:r>
    </w:p>
    <w:p w14:paraId="05E23F94" w14:textId="5FBCDB18" w:rsidR="00C97F1E" w:rsidRDefault="00504174" w:rsidP="00F8142D">
      <w:pPr>
        <w:pStyle w:val="ListParagraph"/>
        <w:numPr>
          <w:ilvl w:val="0"/>
          <w:numId w:val="2"/>
        </w:numPr>
        <w:ind w:left="1418" w:right="250" w:hanging="567"/>
      </w:pPr>
      <w:r>
        <w:t xml:space="preserve">definitions and provisions within the Act to identify possible areas for enhancement in </w:t>
      </w:r>
      <w:proofErr w:type="gramStart"/>
      <w:r>
        <w:t>light</w:t>
      </w:r>
      <w:r w:rsidR="00F8142D">
        <w:t xml:space="preserve"> </w:t>
      </w:r>
      <w:r>
        <w:rPr>
          <w:spacing w:val="-59"/>
        </w:rPr>
        <w:t xml:space="preserve"> </w:t>
      </w:r>
      <w:r>
        <w:t>of</w:t>
      </w:r>
      <w:proofErr w:type="gramEnd"/>
      <w:r>
        <w:rPr>
          <w:spacing w:val="3"/>
        </w:rPr>
        <w:t xml:space="preserve"> </w:t>
      </w:r>
      <w:r>
        <w:t>experience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system.</w:t>
      </w:r>
    </w:p>
    <w:p w14:paraId="4D4B44D0" w14:textId="77777777" w:rsidR="00C97F1E" w:rsidRDefault="00504174" w:rsidP="00F8142D">
      <w:pPr>
        <w:pStyle w:val="ListParagraph"/>
        <w:numPr>
          <w:ilvl w:val="1"/>
          <w:numId w:val="3"/>
        </w:numPr>
        <w:spacing w:line="244" w:lineRule="auto"/>
        <w:ind w:right="648" w:hanging="406"/>
      </w:pPr>
      <w:r>
        <w:rPr>
          <w:b/>
        </w:rPr>
        <w:t xml:space="preserve">Whether the object of the Act </w:t>
      </w:r>
      <w:r>
        <w:t>is being achieved and whether the regulatory framework</w:t>
      </w:r>
      <w:r>
        <w:rPr>
          <w:spacing w:val="-59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 4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operating effectively.</w:t>
      </w:r>
    </w:p>
    <w:p w14:paraId="5B9BCDEE" w14:textId="77777777" w:rsidR="00C97F1E" w:rsidRDefault="00504174" w:rsidP="00F8142D">
      <w:pPr>
        <w:pStyle w:val="ListParagraph"/>
        <w:numPr>
          <w:ilvl w:val="1"/>
          <w:numId w:val="3"/>
        </w:numPr>
        <w:spacing w:before="110"/>
        <w:ind w:hanging="406"/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powers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the Act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enforce</w:t>
      </w:r>
      <w:r>
        <w:rPr>
          <w:spacing w:val="-4"/>
        </w:rPr>
        <w:t xml:space="preserve"> </w:t>
      </w:r>
      <w:r>
        <w:t>compliance.</w:t>
      </w:r>
    </w:p>
    <w:p w14:paraId="033812A9" w14:textId="77777777" w:rsidR="00C97F1E" w:rsidRDefault="00504174" w:rsidP="00F8142D">
      <w:pPr>
        <w:pStyle w:val="ListParagraph"/>
        <w:numPr>
          <w:ilvl w:val="1"/>
          <w:numId w:val="3"/>
        </w:numPr>
        <w:spacing w:before="119"/>
        <w:ind w:hanging="406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consultation</w:t>
      </w:r>
      <w:r>
        <w:rPr>
          <w:b/>
          <w:spacing w:val="-3"/>
        </w:rPr>
        <w:t xml:space="preserve"> </w:t>
      </w:r>
      <w:r>
        <w:rPr>
          <w:b/>
        </w:rPr>
        <w:t>provisions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Act</w:t>
      </w:r>
      <w:r>
        <w:rPr>
          <w:b/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determine:</w:t>
      </w:r>
    </w:p>
    <w:p w14:paraId="19307FCA" w14:textId="77777777" w:rsidR="00C97F1E" w:rsidRDefault="00504174" w:rsidP="00504174">
      <w:pPr>
        <w:pStyle w:val="ListParagraph"/>
        <w:numPr>
          <w:ilvl w:val="0"/>
          <w:numId w:val="7"/>
        </w:numPr>
        <w:spacing w:before="79"/>
        <w:ind w:left="1418" w:right="312" w:hanging="567"/>
      </w:pPr>
      <w:r>
        <w:t>their e</w:t>
      </w:r>
      <w:r>
        <w:t>ffectiveness with respect to changes in communication modes, such as various social</w:t>
      </w:r>
      <w:r w:rsidRPr="00504174">
        <w:t xml:space="preserve"> </w:t>
      </w:r>
      <w:r>
        <w:t>media tools; the costs and benefits, including the value of advice received; and the</w:t>
      </w:r>
      <w:r w:rsidRPr="00504174">
        <w:t xml:space="preserve"> </w:t>
      </w:r>
      <w:r>
        <w:t>transparency</w:t>
      </w:r>
      <w:r w:rsidRPr="00504174">
        <w:t xml:space="preserve"> </w:t>
      </w:r>
      <w:r>
        <w:t>and accountability</w:t>
      </w:r>
      <w:r w:rsidRPr="00504174">
        <w:t xml:space="preserve"> </w:t>
      </w:r>
      <w:r>
        <w:t>that they</w:t>
      </w:r>
      <w:r w:rsidRPr="00504174">
        <w:t xml:space="preserve"> </w:t>
      </w:r>
      <w:proofErr w:type="gramStart"/>
      <w:r>
        <w:t>provide;</w:t>
      </w:r>
      <w:proofErr w:type="gramEnd"/>
    </w:p>
    <w:p w14:paraId="3295B6E6" w14:textId="77777777" w:rsidR="00C97F1E" w:rsidRDefault="00504174" w:rsidP="00504174">
      <w:pPr>
        <w:pStyle w:val="ListParagraph"/>
        <w:numPr>
          <w:ilvl w:val="0"/>
          <w:numId w:val="7"/>
        </w:numPr>
        <w:spacing w:before="79"/>
        <w:ind w:left="1418" w:right="311" w:hanging="567"/>
      </w:pPr>
      <w:r>
        <w:t>the</w:t>
      </w:r>
      <w:r w:rsidRPr="00504174">
        <w:t xml:space="preserve"> </w:t>
      </w:r>
      <w:r>
        <w:t>functions</w:t>
      </w:r>
      <w:r w:rsidRPr="00504174">
        <w:t xml:space="preserve"> </w:t>
      </w:r>
      <w:r>
        <w:t>and</w:t>
      </w:r>
      <w:r w:rsidRPr="00504174">
        <w:t xml:space="preserve"> </w:t>
      </w:r>
      <w:r>
        <w:t>roles</w:t>
      </w:r>
      <w:r w:rsidRPr="00504174">
        <w:t xml:space="preserve"> </w:t>
      </w:r>
      <w:r>
        <w:t>of</w:t>
      </w:r>
      <w:r w:rsidRPr="00504174">
        <w:t xml:space="preserve"> </w:t>
      </w:r>
      <w:r>
        <w:t>the</w:t>
      </w:r>
      <w:r w:rsidRPr="00504174">
        <w:t xml:space="preserve"> </w:t>
      </w:r>
      <w:r>
        <w:t>statutory</w:t>
      </w:r>
      <w:r w:rsidRPr="00504174">
        <w:t xml:space="preserve"> </w:t>
      </w:r>
      <w:r>
        <w:t>advisory</w:t>
      </w:r>
      <w:r w:rsidRPr="00504174">
        <w:t xml:space="preserve"> </w:t>
      </w:r>
      <w:r>
        <w:t>committees; and</w:t>
      </w:r>
    </w:p>
    <w:p w14:paraId="05D57A10" w14:textId="77777777" w:rsidR="00C97F1E" w:rsidRDefault="00504174" w:rsidP="00504174">
      <w:pPr>
        <w:pStyle w:val="ListParagraph"/>
        <w:numPr>
          <w:ilvl w:val="0"/>
          <w:numId w:val="7"/>
        </w:numPr>
        <w:spacing w:before="79"/>
        <w:ind w:left="1418" w:right="311" w:hanging="567"/>
      </w:pPr>
      <w:r>
        <w:t>the stakeholders for various applications under the Act and the methodology used to</w:t>
      </w:r>
      <w:r w:rsidRPr="00504174">
        <w:t xml:space="preserve"> </w:t>
      </w:r>
      <w:r>
        <w:t>engage</w:t>
      </w:r>
      <w:r w:rsidRPr="00504174">
        <w:t xml:space="preserve"> </w:t>
      </w:r>
      <w:r>
        <w:t>them.</w:t>
      </w:r>
    </w:p>
    <w:p w14:paraId="63888116" w14:textId="77777777" w:rsidR="00C97F1E" w:rsidRDefault="00504174" w:rsidP="00F8142D">
      <w:pPr>
        <w:pStyle w:val="ListParagraph"/>
        <w:numPr>
          <w:ilvl w:val="1"/>
          <w:numId w:val="3"/>
        </w:numPr>
        <w:ind w:right="106" w:hanging="406"/>
      </w:pPr>
      <w:r>
        <w:rPr>
          <w:b/>
        </w:rPr>
        <w:t xml:space="preserve">The interface between the Act and other Acts and schemes </w:t>
      </w:r>
      <w:r>
        <w:t>in Australia (include all States</w:t>
      </w:r>
      <w:r>
        <w:rPr>
          <w:spacing w:val="-59"/>
        </w:rPr>
        <w:t xml:space="preserve"> </w:t>
      </w:r>
      <w:r>
        <w:t>and Territories) that regulate gene technology and its products; and identify any</w:t>
      </w:r>
      <w:r>
        <w:rPr>
          <w:spacing w:val="1"/>
        </w:rPr>
        <w:t xml:space="preserve"> </w:t>
      </w:r>
      <w:r>
        <w:t>discrepancies, including regulatory gaps and areas needing consistency and harmonisation of</w:t>
      </w:r>
      <w:r>
        <w:rPr>
          <w:spacing w:val="-59"/>
        </w:rPr>
        <w:t xml:space="preserve"> </w:t>
      </w:r>
      <w:r>
        <w:t>provisions.</w:t>
      </w:r>
    </w:p>
    <w:p w14:paraId="057ECE30" w14:textId="77777777" w:rsidR="00C97F1E" w:rsidRDefault="00504174" w:rsidP="00F8142D">
      <w:pPr>
        <w:pStyle w:val="ListParagraph"/>
        <w:numPr>
          <w:ilvl w:val="1"/>
          <w:numId w:val="3"/>
        </w:numPr>
        <w:ind w:right="336" w:hanging="406"/>
      </w:pPr>
      <w:r>
        <w:rPr>
          <w:b/>
        </w:rPr>
        <w:t xml:space="preserve">The regulatory burden </w:t>
      </w:r>
      <w:r>
        <w:t xml:space="preserve">and whether compliance costs for organisations </w:t>
      </w:r>
      <w:r>
        <w:t>working in gene</w:t>
      </w:r>
      <w:r>
        <w:rPr>
          <w:spacing w:val="1"/>
        </w:rPr>
        <w:t xml:space="preserve"> </w:t>
      </w:r>
      <w:r>
        <w:t>technology are reasonable and justified compared to benefits achieved and if the regulatory</w:t>
      </w:r>
      <w:r>
        <w:rPr>
          <w:spacing w:val="-59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 approval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are commensurate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risk.</w:t>
      </w:r>
    </w:p>
    <w:p w14:paraId="0626B1D7" w14:textId="77777777" w:rsidR="00C97F1E" w:rsidRDefault="00504174" w:rsidP="00F8142D">
      <w:pPr>
        <w:pStyle w:val="ListParagraph"/>
        <w:numPr>
          <w:ilvl w:val="0"/>
          <w:numId w:val="3"/>
        </w:numPr>
        <w:ind w:left="426" w:right="226" w:hanging="426"/>
      </w:pPr>
      <w:r>
        <w:rPr>
          <w:b/>
        </w:rPr>
        <w:t xml:space="preserve">Provision of recommendations for amendments to the Act </w:t>
      </w:r>
      <w:r>
        <w:rPr>
          <w:b/>
        </w:rPr>
        <w:t xml:space="preserve">and the Agreement </w:t>
      </w:r>
      <w:r w:rsidRPr="00F8142D">
        <w:rPr>
          <w:b/>
        </w:rPr>
        <w:t>(including</w:t>
      </w:r>
      <w:r>
        <w:rPr>
          <w:spacing w:val="1"/>
        </w:rPr>
        <w:t xml:space="preserve"> </w:t>
      </w:r>
      <w:r>
        <w:t>consideration of those recommendations made by State or Territory Parliamentary Committees),</w:t>
      </w:r>
      <w:r>
        <w:rPr>
          <w:spacing w:val="-59"/>
        </w:rPr>
        <w:t xml:space="preserve"> </w:t>
      </w:r>
      <w:r>
        <w:t xml:space="preserve">or alternatives to legislation, which improve the effectiveness, efficiency, fairness, </w:t>
      </w:r>
      <w:proofErr w:type="gramStart"/>
      <w:r>
        <w:t>timeliness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system.</w:t>
      </w:r>
    </w:p>
    <w:sectPr w:rsidR="00C97F1E" w:rsidSect="00F8142D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3AA1"/>
    <w:multiLevelType w:val="hybridMultilevel"/>
    <w:tmpl w:val="9454FC2C"/>
    <w:lvl w:ilvl="0" w:tplc="B61497B6">
      <w:start w:val="1"/>
      <w:numFmt w:val="lowerLetter"/>
      <w:lvlText w:val="%1)"/>
      <w:lvlJc w:val="left"/>
      <w:pPr>
        <w:ind w:left="1079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F48473C">
      <w:numFmt w:val="bullet"/>
      <w:lvlText w:val="•"/>
      <w:lvlJc w:val="left"/>
      <w:pPr>
        <w:ind w:left="1978" w:hanging="399"/>
      </w:pPr>
      <w:rPr>
        <w:rFonts w:hint="default"/>
        <w:lang w:val="en-AU" w:eastAsia="en-US" w:bidi="ar-SA"/>
      </w:rPr>
    </w:lvl>
    <w:lvl w:ilvl="2" w:tplc="1A3CE14A">
      <w:numFmt w:val="bullet"/>
      <w:lvlText w:val="•"/>
      <w:lvlJc w:val="left"/>
      <w:pPr>
        <w:ind w:left="2877" w:hanging="399"/>
      </w:pPr>
      <w:rPr>
        <w:rFonts w:hint="default"/>
        <w:lang w:val="en-AU" w:eastAsia="en-US" w:bidi="ar-SA"/>
      </w:rPr>
    </w:lvl>
    <w:lvl w:ilvl="3" w:tplc="61C2C876">
      <w:numFmt w:val="bullet"/>
      <w:lvlText w:val="•"/>
      <w:lvlJc w:val="left"/>
      <w:pPr>
        <w:ind w:left="3775" w:hanging="399"/>
      </w:pPr>
      <w:rPr>
        <w:rFonts w:hint="default"/>
        <w:lang w:val="en-AU" w:eastAsia="en-US" w:bidi="ar-SA"/>
      </w:rPr>
    </w:lvl>
    <w:lvl w:ilvl="4" w:tplc="FA58CA52">
      <w:numFmt w:val="bullet"/>
      <w:lvlText w:val="•"/>
      <w:lvlJc w:val="left"/>
      <w:pPr>
        <w:ind w:left="4674" w:hanging="399"/>
      </w:pPr>
      <w:rPr>
        <w:rFonts w:hint="default"/>
        <w:lang w:val="en-AU" w:eastAsia="en-US" w:bidi="ar-SA"/>
      </w:rPr>
    </w:lvl>
    <w:lvl w:ilvl="5" w:tplc="2FA2DB46">
      <w:numFmt w:val="bullet"/>
      <w:lvlText w:val="•"/>
      <w:lvlJc w:val="left"/>
      <w:pPr>
        <w:ind w:left="5573" w:hanging="399"/>
      </w:pPr>
      <w:rPr>
        <w:rFonts w:hint="default"/>
        <w:lang w:val="en-AU" w:eastAsia="en-US" w:bidi="ar-SA"/>
      </w:rPr>
    </w:lvl>
    <w:lvl w:ilvl="6" w:tplc="CBC6F3DA">
      <w:numFmt w:val="bullet"/>
      <w:lvlText w:val="•"/>
      <w:lvlJc w:val="left"/>
      <w:pPr>
        <w:ind w:left="6471" w:hanging="399"/>
      </w:pPr>
      <w:rPr>
        <w:rFonts w:hint="default"/>
        <w:lang w:val="en-AU" w:eastAsia="en-US" w:bidi="ar-SA"/>
      </w:rPr>
    </w:lvl>
    <w:lvl w:ilvl="7" w:tplc="839C69CA">
      <w:numFmt w:val="bullet"/>
      <w:lvlText w:val="•"/>
      <w:lvlJc w:val="left"/>
      <w:pPr>
        <w:ind w:left="7370" w:hanging="399"/>
      </w:pPr>
      <w:rPr>
        <w:rFonts w:hint="default"/>
        <w:lang w:val="en-AU" w:eastAsia="en-US" w:bidi="ar-SA"/>
      </w:rPr>
    </w:lvl>
    <w:lvl w:ilvl="8" w:tplc="E9BEE37C">
      <w:numFmt w:val="bullet"/>
      <w:lvlText w:val="•"/>
      <w:lvlJc w:val="left"/>
      <w:pPr>
        <w:ind w:left="8269" w:hanging="399"/>
      </w:pPr>
      <w:rPr>
        <w:rFonts w:hint="default"/>
        <w:lang w:val="en-AU" w:eastAsia="en-US" w:bidi="ar-SA"/>
      </w:rPr>
    </w:lvl>
  </w:abstractNum>
  <w:abstractNum w:abstractNumId="1" w15:restartNumberingAfterBreak="0">
    <w:nsid w:val="225253E5"/>
    <w:multiLevelType w:val="hybridMultilevel"/>
    <w:tmpl w:val="9454FC2C"/>
    <w:lvl w:ilvl="0" w:tplc="B61497B6">
      <w:start w:val="1"/>
      <w:numFmt w:val="lowerLetter"/>
      <w:lvlText w:val="%1)"/>
      <w:lvlJc w:val="left"/>
      <w:pPr>
        <w:ind w:left="1079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8F48473C">
      <w:numFmt w:val="bullet"/>
      <w:lvlText w:val="•"/>
      <w:lvlJc w:val="left"/>
      <w:pPr>
        <w:ind w:left="1978" w:hanging="399"/>
      </w:pPr>
      <w:rPr>
        <w:rFonts w:hint="default"/>
        <w:lang w:val="en-AU" w:eastAsia="en-US" w:bidi="ar-SA"/>
      </w:rPr>
    </w:lvl>
    <w:lvl w:ilvl="2" w:tplc="1A3CE14A">
      <w:numFmt w:val="bullet"/>
      <w:lvlText w:val="•"/>
      <w:lvlJc w:val="left"/>
      <w:pPr>
        <w:ind w:left="2877" w:hanging="399"/>
      </w:pPr>
      <w:rPr>
        <w:rFonts w:hint="default"/>
        <w:lang w:val="en-AU" w:eastAsia="en-US" w:bidi="ar-SA"/>
      </w:rPr>
    </w:lvl>
    <w:lvl w:ilvl="3" w:tplc="61C2C876">
      <w:numFmt w:val="bullet"/>
      <w:lvlText w:val="•"/>
      <w:lvlJc w:val="left"/>
      <w:pPr>
        <w:ind w:left="3775" w:hanging="399"/>
      </w:pPr>
      <w:rPr>
        <w:rFonts w:hint="default"/>
        <w:lang w:val="en-AU" w:eastAsia="en-US" w:bidi="ar-SA"/>
      </w:rPr>
    </w:lvl>
    <w:lvl w:ilvl="4" w:tplc="FA58CA52">
      <w:numFmt w:val="bullet"/>
      <w:lvlText w:val="•"/>
      <w:lvlJc w:val="left"/>
      <w:pPr>
        <w:ind w:left="4674" w:hanging="399"/>
      </w:pPr>
      <w:rPr>
        <w:rFonts w:hint="default"/>
        <w:lang w:val="en-AU" w:eastAsia="en-US" w:bidi="ar-SA"/>
      </w:rPr>
    </w:lvl>
    <w:lvl w:ilvl="5" w:tplc="2FA2DB46">
      <w:numFmt w:val="bullet"/>
      <w:lvlText w:val="•"/>
      <w:lvlJc w:val="left"/>
      <w:pPr>
        <w:ind w:left="5573" w:hanging="399"/>
      </w:pPr>
      <w:rPr>
        <w:rFonts w:hint="default"/>
        <w:lang w:val="en-AU" w:eastAsia="en-US" w:bidi="ar-SA"/>
      </w:rPr>
    </w:lvl>
    <w:lvl w:ilvl="6" w:tplc="CBC6F3DA">
      <w:numFmt w:val="bullet"/>
      <w:lvlText w:val="•"/>
      <w:lvlJc w:val="left"/>
      <w:pPr>
        <w:ind w:left="6471" w:hanging="399"/>
      </w:pPr>
      <w:rPr>
        <w:rFonts w:hint="default"/>
        <w:lang w:val="en-AU" w:eastAsia="en-US" w:bidi="ar-SA"/>
      </w:rPr>
    </w:lvl>
    <w:lvl w:ilvl="7" w:tplc="839C69CA">
      <w:numFmt w:val="bullet"/>
      <w:lvlText w:val="•"/>
      <w:lvlJc w:val="left"/>
      <w:pPr>
        <w:ind w:left="7370" w:hanging="399"/>
      </w:pPr>
      <w:rPr>
        <w:rFonts w:hint="default"/>
        <w:lang w:val="en-AU" w:eastAsia="en-US" w:bidi="ar-SA"/>
      </w:rPr>
    </w:lvl>
    <w:lvl w:ilvl="8" w:tplc="E9BEE37C">
      <w:numFmt w:val="bullet"/>
      <w:lvlText w:val="•"/>
      <w:lvlJc w:val="left"/>
      <w:pPr>
        <w:ind w:left="8269" w:hanging="399"/>
      </w:pPr>
      <w:rPr>
        <w:rFonts w:hint="default"/>
        <w:lang w:val="en-AU" w:eastAsia="en-US" w:bidi="ar-SA"/>
      </w:rPr>
    </w:lvl>
  </w:abstractNum>
  <w:abstractNum w:abstractNumId="2" w15:restartNumberingAfterBreak="0">
    <w:nsid w:val="2CC70572"/>
    <w:multiLevelType w:val="hybridMultilevel"/>
    <w:tmpl w:val="32AAF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2C29"/>
    <w:multiLevelType w:val="hybridMultilevel"/>
    <w:tmpl w:val="D53E534C"/>
    <w:lvl w:ilvl="0" w:tplc="0E66C5B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1227338">
      <w:numFmt w:val="bullet"/>
      <w:lvlText w:val="•"/>
      <w:lvlJc w:val="left"/>
      <w:pPr>
        <w:ind w:left="1420" w:hanging="360"/>
      </w:pPr>
      <w:rPr>
        <w:rFonts w:hint="default"/>
        <w:lang w:val="en-AU" w:eastAsia="en-US" w:bidi="ar-SA"/>
      </w:rPr>
    </w:lvl>
    <w:lvl w:ilvl="2" w:tplc="CA420340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1D6C0DA4">
      <w:numFmt w:val="bullet"/>
      <w:lvlText w:val="•"/>
      <w:lvlJc w:val="left"/>
      <w:pPr>
        <w:ind w:left="3341" w:hanging="360"/>
      </w:pPr>
      <w:rPr>
        <w:rFonts w:hint="default"/>
        <w:lang w:val="en-AU" w:eastAsia="en-US" w:bidi="ar-SA"/>
      </w:rPr>
    </w:lvl>
    <w:lvl w:ilvl="4" w:tplc="A06E190C">
      <w:numFmt w:val="bullet"/>
      <w:lvlText w:val="•"/>
      <w:lvlJc w:val="left"/>
      <w:pPr>
        <w:ind w:left="4302" w:hanging="360"/>
      </w:pPr>
      <w:rPr>
        <w:rFonts w:hint="default"/>
        <w:lang w:val="en-AU" w:eastAsia="en-US" w:bidi="ar-SA"/>
      </w:rPr>
    </w:lvl>
    <w:lvl w:ilvl="5" w:tplc="3356BF68">
      <w:numFmt w:val="bullet"/>
      <w:lvlText w:val="•"/>
      <w:lvlJc w:val="left"/>
      <w:pPr>
        <w:ind w:left="5263" w:hanging="360"/>
      </w:pPr>
      <w:rPr>
        <w:rFonts w:hint="default"/>
        <w:lang w:val="en-AU" w:eastAsia="en-US" w:bidi="ar-SA"/>
      </w:rPr>
    </w:lvl>
    <w:lvl w:ilvl="6" w:tplc="8A009212">
      <w:numFmt w:val="bullet"/>
      <w:lvlText w:val="•"/>
      <w:lvlJc w:val="left"/>
      <w:pPr>
        <w:ind w:left="6223" w:hanging="360"/>
      </w:pPr>
      <w:rPr>
        <w:rFonts w:hint="default"/>
        <w:lang w:val="en-AU" w:eastAsia="en-US" w:bidi="ar-SA"/>
      </w:rPr>
    </w:lvl>
    <w:lvl w:ilvl="7" w:tplc="5E124CD8">
      <w:numFmt w:val="bullet"/>
      <w:lvlText w:val="•"/>
      <w:lvlJc w:val="left"/>
      <w:pPr>
        <w:ind w:left="7184" w:hanging="360"/>
      </w:pPr>
      <w:rPr>
        <w:rFonts w:hint="default"/>
        <w:lang w:val="en-AU" w:eastAsia="en-US" w:bidi="ar-SA"/>
      </w:rPr>
    </w:lvl>
    <w:lvl w:ilvl="8" w:tplc="8ADA7314">
      <w:numFmt w:val="bullet"/>
      <w:lvlText w:val="•"/>
      <w:lvlJc w:val="left"/>
      <w:pPr>
        <w:ind w:left="8145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550A2277"/>
    <w:multiLevelType w:val="hybridMultilevel"/>
    <w:tmpl w:val="F0D00CE0"/>
    <w:lvl w:ilvl="0" w:tplc="565EEDA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C1A2019C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AU" w:eastAsia="en-US" w:bidi="ar-SA"/>
      </w:rPr>
    </w:lvl>
    <w:lvl w:ilvl="2" w:tplc="003E867E">
      <w:numFmt w:val="bullet"/>
      <w:lvlText w:val="•"/>
      <w:lvlJc w:val="left"/>
      <w:pPr>
        <w:ind w:left="1865" w:hanging="363"/>
      </w:pPr>
      <w:rPr>
        <w:rFonts w:hint="default"/>
        <w:lang w:val="en-AU" w:eastAsia="en-US" w:bidi="ar-SA"/>
      </w:rPr>
    </w:lvl>
    <w:lvl w:ilvl="3" w:tplc="F9107366">
      <w:numFmt w:val="bullet"/>
      <w:lvlText w:val="•"/>
      <w:lvlJc w:val="left"/>
      <w:pPr>
        <w:ind w:left="2890" w:hanging="363"/>
      </w:pPr>
      <w:rPr>
        <w:rFonts w:hint="default"/>
        <w:lang w:val="en-AU" w:eastAsia="en-US" w:bidi="ar-SA"/>
      </w:rPr>
    </w:lvl>
    <w:lvl w:ilvl="4" w:tplc="6F323A7C">
      <w:numFmt w:val="bullet"/>
      <w:lvlText w:val="•"/>
      <w:lvlJc w:val="left"/>
      <w:pPr>
        <w:ind w:left="3915" w:hanging="363"/>
      </w:pPr>
      <w:rPr>
        <w:rFonts w:hint="default"/>
        <w:lang w:val="en-AU" w:eastAsia="en-US" w:bidi="ar-SA"/>
      </w:rPr>
    </w:lvl>
    <w:lvl w:ilvl="5" w:tplc="1B141532">
      <w:numFmt w:val="bullet"/>
      <w:lvlText w:val="•"/>
      <w:lvlJc w:val="left"/>
      <w:pPr>
        <w:ind w:left="4940" w:hanging="363"/>
      </w:pPr>
      <w:rPr>
        <w:rFonts w:hint="default"/>
        <w:lang w:val="en-AU" w:eastAsia="en-US" w:bidi="ar-SA"/>
      </w:rPr>
    </w:lvl>
    <w:lvl w:ilvl="6" w:tplc="A3768A0A">
      <w:numFmt w:val="bullet"/>
      <w:lvlText w:val="•"/>
      <w:lvlJc w:val="left"/>
      <w:pPr>
        <w:ind w:left="5965" w:hanging="363"/>
      </w:pPr>
      <w:rPr>
        <w:rFonts w:hint="default"/>
        <w:lang w:val="en-AU" w:eastAsia="en-US" w:bidi="ar-SA"/>
      </w:rPr>
    </w:lvl>
    <w:lvl w:ilvl="7" w:tplc="2FEE035A">
      <w:numFmt w:val="bullet"/>
      <w:lvlText w:val="•"/>
      <w:lvlJc w:val="left"/>
      <w:pPr>
        <w:ind w:left="6990" w:hanging="363"/>
      </w:pPr>
      <w:rPr>
        <w:rFonts w:hint="default"/>
        <w:lang w:val="en-AU" w:eastAsia="en-US" w:bidi="ar-SA"/>
      </w:rPr>
    </w:lvl>
    <w:lvl w:ilvl="8" w:tplc="0310FCCA">
      <w:numFmt w:val="bullet"/>
      <w:lvlText w:val="•"/>
      <w:lvlJc w:val="left"/>
      <w:pPr>
        <w:ind w:left="8016" w:hanging="363"/>
      </w:pPr>
      <w:rPr>
        <w:rFonts w:hint="default"/>
        <w:lang w:val="en-AU" w:eastAsia="en-US" w:bidi="ar-SA"/>
      </w:rPr>
    </w:lvl>
  </w:abstractNum>
  <w:abstractNum w:abstractNumId="5" w15:restartNumberingAfterBreak="0">
    <w:nsid w:val="741E6A50"/>
    <w:multiLevelType w:val="hybridMultilevel"/>
    <w:tmpl w:val="A5C61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026C"/>
    <w:multiLevelType w:val="hybridMultilevel"/>
    <w:tmpl w:val="3B28F3D4"/>
    <w:lvl w:ilvl="0" w:tplc="8DFEE17C">
      <w:start w:val="1"/>
      <w:numFmt w:val="lowerLetter"/>
      <w:lvlText w:val="%1)"/>
      <w:lvlJc w:val="left"/>
      <w:pPr>
        <w:ind w:left="10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CE484840">
      <w:numFmt w:val="bullet"/>
      <w:lvlText w:val="•"/>
      <w:lvlJc w:val="left"/>
      <w:pPr>
        <w:ind w:left="1942" w:hanging="360"/>
      </w:pPr>
      <w:rPr>
        <w:rFonts w:hint="default"/>
        <w:lang w:val="en-AU" w:eastAsia="en-US" w:bidi="ar-SA"/>
      </w:rPr>
    </w:lvl>
    <w:lvl w:ilvl="2" w:tplc="3B7A3D06">
      <w:numFmt w:val="bullet"/>
      <w:lvlText w:val="•"/>
      <w:lvlJc w:val="left"/>
      <w:pPr>
        <w:ind w:left="2845" w:hanging="360"/>
      </w:pPr>
      <w:rPr>
        <w:rFonts w:hint="default"/>
        <w:lang w:val="en-AU" w:eastAsia="en-US" w:bidi="ar-SA"/>
      </w:rPr>
    </w:lvl>
    <w:lvl w:ilvl="3" w:tplc="8B56C7F4">
      <w:numFmt w:val="bullet"/>
      <w:lvlText w:val="•"/>
      <w:lvlJc w:val="left"/>
      <w:pPr>
        <w:ind w:left="3747" w:hanging="360"/>
      </w:pPr>
      <w:rPr>
        <w:rFonts w:hint="default"/>
        <w:lang w:val="en-AU" w:eastAsia="en-US" w:bidi="ar-SA"/>
      </w:rPr>
    </w:lvl>
    <w:lvl w:ilvl="4" w:tplc="5812458A">
      <w:numFmt w:val="bullet"/>
      <w:lvlText w:val="•"/>
      <w:lvlJc w:val="left"/>
      <w:pPr>
        <w:ind w:left="4650" w:hanging="360"/>
      </w:pPr>
      <w:rPr>
        <w:rFonts w:hint="default"/>
        <w:lang w:val="en-AU" w:eastAsia="en-US" w:bidi="ar-SA"/>
      </w:rPr>
    </w:lvl>
    <w:lvl w:ilvl="5" w:tplc="466AC486">
      <w:numFmt w:val="bullet"/>
      <w:lvlText w:val="•"/>
      <w:lvlJc w:val="left"/>
      <w:pPr>
        <w:ind w:left="5553" w:hanging="360"/>
      </w:pPr>
      <w:rPr>
        <w:rFonts w:hint="default"/>
        <w:lang w:val="en-AU" w:eastAsia="en-US" w:bidi="ar-SA"/>
      </w:rPr>
    </w:lvl>
    <w:lvl w:ilvl="6" w:tplc="E0CC6CDE">
      <w:numFmt w:val="bullet"/>
      <w:lvlText w:val="•"/>
      <w:lvlJc w:val="left"/>
      <w:pPr>
        <w:ind w:left="6455" w:hanging="360"/>
      </w:pPr>
      <w:rPr>
        <w:rFonts w:hint="default"/>
        <w:lang w:val="en-AU" w:eastAsia="en-US" w:bidi="ar-SA"/>
      </w:rPr>
    </w:lvl>
    <w:lvl w:ilvl="7" w:tplc="1EC85FA2">
      <w:numFmt w:val="bullet"/>
      <w:lvlText w:val="•"/>
      <w:lvlJc w:val="left"/>
      <w:pPr>
        <w:ind w:left="7358" w:hanging="360"/>
      </w:pPr>
      <w:rPr>
        <w:rFonts w:hint="default"/>
        <w:lang w:val="en-AU" w:eastAsia="en-US" w:bidi="ar-SA"/>
      </w:rPr>
    </w:lvl>
    <w:lvl w:ilvl="8" w:tplc="3F3A2080">
      <w:numFmt w:val="bullet"/>
      <w:lvlText w:val="•"/>
      <w:lvlJc w:val="left"/>
      <w:pPr>
        <w:ind w:left="8261" w:hanging="360"/>
      </w:pPr>
      <w:rPr>
        <w:rFonts w:hint="default"/>
        <w:lang w:val="en-A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F1E"/>
    <w:rsid w:val="00504174"/>
    <w:rsid w:val="00C40E34"/>
    <w:rsid w:val="00C97F1E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96A2"/>
  <w15:docId w15:val="{81A90D83-D94F-4DFC-B42E-05756700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2D"/>
    <w:pPr>
      <w:spacing w:before="120" w:after="120" w:line="276" w:lineRule="auto"/>
    </w:pPr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rsid w:val="00F8142D"/>
    <w:pPr>
      <w:spacing w:before="77" w:line="480" w:lineRule="auto"/>
      <w:ind w:left="3919" w:right="1862" w:hanging="2027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142D"/>
    <w:pPr>
      <w:spacing w:before="240" w:line="276" w:lineRule="auto"/>
      <w:ind w:left="2024" w:right="0" w:hanging="202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F8142D"/>
    <w:rPr>
      <w:rFonts w:ascii="Arial" w:eastAsia="Arial" w:hAnsi="Arial" w:cs="Arial"/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review of the Gene Technology Act 2000 – Terms of reference</dc:title>
  <dc:subject>Gene technology</dc:subject>
  <dc:creator>National Gene Technology Scheme</dc:creator>
  <cp:keywords>ToR</cp:keywords>
  <cp:lastModifiedBy>MCCAY, Meryl</cp:lastModifiedBy>
  <cp:revision>2</cp:revision>
  <dcterms:created xsi:type="dcterms:W3CDTF">2022-02-10T00:08:00Z</dcterms:created>
  <dcterms:modified xsi:type="dcterms:W3CDTF">2022-02-10T00:33:00Z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2022-02-10T00:00:00Z</vt:filetime>
  </property>
</Properties>
</file>