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ontains text on the forum action plan"/>
        <w:tblDescription w:val="Table contains text on the forum action plan"/>
      </w:tblPr>
      <w:tblGrid>
        <w:gridCol w:w="4536"/>
        <w:gridCol w:w="6804"/>
        <w:gridCol w:w="4050"/>
      </w:tblGrid>
      <w:tr w:rsidR="005A1FA5" w14:paraId="3629E4D5" w14:textId="77777777" w:rsidTr="005A1FA5">
        <w:tc>
          <w:tcPr>
            <w:tcW w:w="4536" w:type="dxa"/>
          </w:tcPr>
          <w:p w14:paraId="0FA75B31" w14:textId="4430553B" w:rsidR="005A1FA5" w:rsidRPr="009C582C" w:rsidRDefault="005A1FA5" w:rsidP="005A1FA5">
            <w:pPr>
              <w:pStyle w:val="Title"/>
            </w:pPr>
            <w:r w:rsidRPr="009C582C">
              <w:t xml:space="preserve">Legislative and Governance Forum </w:t>
            </w:r>
            <w:r>
              <w:br/>
            </w:r>
            <w:r w:rsidRPr="009C582C">
              <w:t xml:space="preserve">on Gene Technology </w:t>
            </w:r>
          </w:p>
          <w:p w14:paraId="22620FCA" w14:textId="77777777" w:rsidR="005A1FA5" w:rsidRDefault="005A1FA5" w:rsidP="005A1FA5">
            <w:pPr>
              <w:pStyle w:val="Subtitle"/>
            </w:pPr>
            <w:r w:rsidRPr="003B5E82">
              <w:t xml:space="preserve">FORUM ACTION </w:t>
            </w:r>
            <w:r w:rsidRPr="009C582C">
              <w:t>PLAN</w:t>
            </w:r>
            <w:r w:rsidRPr="003B5E82">
              <w:t xml:space="preserve"> </w:t>
            </w:r>
          </w:p>
          <w:p w14:paraId="6ABE6897" w14:textId="71B8B0ED" w:rsidR="005A1FA5" w:rsidRPr="005A1FA5" w:rsidRDefault="005A1FA5" w:rsidP="005A1FA5">
            <w:pPr>
              <w:pStyle w:val="Subtitle"/>
              <w:rPr>
                <w:rFonts w:ascii="Helvetica LT Std Light" w:eastAsiaTheme="minorHAnsi" w:hAnsi="Helvetica LT Std Light" w:cs="Helvetica LT Std Light"/>
                <w:color w:val="000000"/>
                <w:sz w:val="18"/>
                <w:szCs w:val="18"/>
              </w:rPr>
            </w:pPr>
            <w:r w:rsidRPr="003B5E82">
              <w:rPr>
                <w:color w:val="008574"/>
              </w:rPr>
              <w:t>2018–2023</w:t>
            </w:r>
            <w:r w:rsidRPr="003B5E82">
              <w:rPr>
                <w:rFonts w:ascii="Helvetica LT Std Light" w:eastAsiaTheme="minorHAnsi" w:hAnsi="Helvetica LT Std Light" w:cs="Helvetica LT Std Light"/>
                <w:color w:val="000000"/>
                <w:sz w:val="18"/>
                <w:szCs w:val="18"/>
              </w:rPr>
              <w:t xml:space="preserve"> </w:t>
            </w:r>
          </w:p>
        </w:tc>
        <w:tc>
          <w:tcPr>
            <w:tcW w:w="6804" w:type="dxa"/>
          </w:tcPr>
          <w:p w14:paraId="284B338F" w14:textId="77777777" w:rsidR="005A1FA5" w:rsidRPr="00B753F1" w:rsidRDefault="005A1FA5" w:rsidP="005A1FA5">
            <w:pPr>
              <w:spacing w:after="120"/>
            </w:pPr>
            <w:r w:rsidRPr="00B753F1">
              <w:t xml:space="preserve">In response to the Third Review of the Gene Technology Scheme (the </w:t>
            </w:r>
            <w:r>
              <w:t>s</w:t>
            </w:r>
            <w:r w:rsidRPr="00B753F1">
              <w:t xml:space="preserve">cheme), and in addition to the ongoing activities of the Legislative and Governance Forum on Gene Technology (the Forum), all Australian Governments represented on the Forum have agreed to pursue this Forum Action Plan. This Forum Action Plan prioritises activities to be undertaken to update the Scheme over the 2018–2023 period. </w:t>
            </w:r>
          </w:p>
          <w:p w14:paraId="6805ACFE" w14:textId="77777777" w:rsidR="005A1FA5" w:rsidRPr="00B753F1" w:rsidRDefault="005A1FA5" w:rsidP="005A1FA5">
            <w:pPr>
              <w:spacing w:after="120"/>
            </w:pPr>
            <w:r w:rsidRPr="00B753F1">
              <w:t xml:space="preserve">This Forum Action Plan is a working </w:t>
            </w:r>
            <w:proofErr w:type="gramStart"/>
            <w:r w:rsidRPr="00B753F1">
              <w:t>document, and</w:t>
            </w:r>
            <w:proofErr w:type="gramEnd"/>
            <w:r w:rsidRPr="00B753F1">
              <w:t xml:space="preserve"> provides a framework for implementation by the Gene Technology Standing Committee, comprising of senior officials from each jurisdiction, that will report annually to the Forum on progress. </w:t>
            </w:r>
          </w:p>
          <w:p w14:paraId="25BF5DF8" w14:textId="40B87EC9" w:rsidR="005A1FA5" w:rsidRDefault="005A1FA5" w:rsidP="005A1FA5">
            <w:pPr>
              <w:spacing w:after="120"/>
            </w:pPr>
            <w:r w:rsidRPr="00B753F1">
              <w:t xml:space="preserve">This Forum Action Plan seeks to identify indicative timeframes for the commencement of implementation activities. However, on a practical basis, it is recognised that through monitoring implementation progress, timeframes may need to be revised. </w:t>
            </w:r>
          </w:p>
        </w:tc>
        <w:tc>
          <w:tcPr>
            <w:tcW w:w="4050" w:type="dxa"/>
          </w:tcPr>
          <w:p w14:paraId="3984C943" w14:textId="3154A1DF" w:rsidR="005A1FA5" w:rsidRDefault="005A1FA5" w:rsidP="005A1FA5">
            <w:pPr>
              <w:pStyle w:val="Title"/>
              <w:jc w:val="right"/>
            </w:pPr>
            <w:r w:rsidRPr="003B5E82">
              <w:rPr>
                <w:b w:val="0"/>
                <w:noProof/>
                <w:lang w:val="en-AU" w:eastAsia="en-AU"/>
              </w:rPr>
              <w:drawing>
                <wp:inline distT="0" distB="0" distL="0" distR="0" wp14:anchorId="16D2B3EB" wp14:editId="2C4CF1EC">
                  <wp:extent cx="2019300" cy="952500"/>
                  <wp:effectExtent l="0" t="0" r="0" b="0"/>
                  <wp:docPr id="1" name="Picture 1" descr="The logo of the National Gene Technology Scheme. An Australian, State and Territory Government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9300" cy="952500"/>
                          </a:xfrm>
                          <a:prstGeom prst="rect">
                            <a:avLst/>
                          </a:prstGeom>
                        </pic:spPr>
                      </pic:pic>
                    </a:graphicData>
                  </a:graphic>
                </wp:inline>
              </w:drawing>
            </w:r>
          </w:p>
        </w:tc>
      </w:tr>
    </w:tbl>
    <w:p w14:paraId="2D75354C" w14:textId="77777777" w:rsidR="005A1FA5" w:rsidRDefault="005A1FA5" w:rsidP="00850D97">
      <w:pPr>
        <w:sectPr w:rsidR="005A1FA5" w:rsidSect="005A1FA5">
          <w:pgSz w:w="16840" w:h="11900" w:code="9"/>
          <w:pgMar w:top="720" w:right="720" w:bottom="720" w:left="720" w:header="708" w:footer="708" w:gutter="0"/>
          <w:cols w:space="708"/>
          <w:docGrid w:linePitch="360"/>
        </w:sectPr>
      </w:pPr>
    </w:p>
    <w:p w14:paraId="51EDABB8" w14:textId="1DCBDFC7" w:rsidR="005A1FA5" w:rsidRDefault="005A1FA5" w:rsidP="00850D97">
      <w:pPr>
        <w:sectPr w:rsidR="005A1FA5" w:rsidSect="005A1FA5">
          <w:type w:val="continuous"/>
          <w:pgSz w:w="16840" w:h="11900" w:code="9"/>
          <w:pgMar w:top="720" w:right="720" w:bottom="720" w:left="720" w:header="708" w:footer="708" w:gutter="0"/>
          <w:cols w:num="3" w:space="708"/>
          <w:docGrid w:linePitch="360"/>
        </w:sectPr>
      </w:pPr>
    </w:p>
    <w:p w14:paraId="5E2AED3B" w14:textId="52A653E7" w:rsidR="009C582C" w:rsidRDefault="009C582C" w:rsidP="00850D97"/>
    <w:tbl>
      <w:tblPr>
        <w:tblStyle w:val="TableGrid"/>
        <w:tblW w:w="15451" w:type="dxa"/>
        <w:tblBorders>
          <w:top w:val="none" w:sz="0" w:space="0" w:color="auto"/>
          <w:left w:val="none" w:sz="0" w:space="0" w:color="auto"/>
          <w:bottom w:val="none" w:sz="0" w:space="0" w:color="auto"/>
          <w:right w:val="none" w:sz="0" w:space="0" w:color="auto"/>
          <w:insideH w:val="single" w:sz="4" w:space="0" w:color="70AD47" w:themeColor="accent6"/>
          <w:insideV w:val="none" w:sz="0" w:space="0" w:color="auto"/>
        </w:tblBorders>
        <w:tblLook w:val="04A0" w:firstRow="1" w:lastRow="0" w:firstColumn="1" w:lastColumn="0" w:noHBand="0" w:noVBand="1"/>
        <w:tblCaption w:val="Table contains text on the forum action plan"/>
        <w:tblDescription w:val="Table contains text on the forum action plan"/>
      </w:tblPr>
      <w:tblGrid>
        <w:gridCol w:w="426"/>
        <w:gridCol w:w="7654"/>
        <w:gridCol w:w="4961"/>
        <w:gridCol w:w="2410"/>
      </w:tblGrid>
      <w:tr w:rsidR="009C582C" w:rsidRPr="00850D97" w14:paraId="0CBAFD4B" w14:textId="77777777" w:rsidTr="00D3773C">
        <w:trPr>
          <w:cantSplit/>
          <w:tblHeader/>
        </w:trPr>
        <w:tc>
          <w:tcPr>
            <w:tcW w:w="426" w:type="dxa"/>
            <w:tcBorders>
              <w:bottom w:val="single" w:sz="4" w:space="0" w:color="70AD47" w:themeColor="accent6"/>
            </w:tcBorders>
            <w:shd w:val="clear" w:color="auto" w:fill="008574"/>
            <w:vAlign w:val="center"/>
          </w:tcPr>
          <w:p w14:paraId="1BD9E12A" w14:textId="23D0025B" w:rsidR="009C582C" w:rsidRPr="00850D97" w:rsidRDefault="009C582C" w:rsidP="009C582C">
            <w:pPr>
              <w:rPr>
                <w:b/>
                <w:color w:val="FFFFFF" w:themeColor="background1"/>
                <w:sz w:val="21"/>
              </w:rPr>
            </w:pPr>
          </w:p>
        </w:tc>
        <w:tc>
          <w:tcPr>
            <w:tcW w:w="7654" w:type="dxa"/>
            <w:tcBorders>
              <w:bottom w:val="single" w:sz="4" w:space="0" w:color="70AD47" w:themeColor="accent6"/>
            </w:tcBorders>
            <w:shd w:val="clear" w:color="auto" w:fill="008574"/>
            <w:vAlign w:val="center"/>
          </w:tcPr>
          <w:p w14:paraId="7021C23B" w14:textId="254CFE72" w:rsidR="009C582C" w:rsidRPr="009C582C" w:rsidRDefault="009C582C" w:rsidP="009C582C">
            <w:pPr>
              <w:rPr>
                <w:b/>
                <w:color w:val="FFFFFF" w:themeColor="background1"/>
              </w:rPr>
            </w:pPr>
            <w:r w:rsidRPr="009C582C">
              <w:rPr>
                <w:b/>
                <w:color w:val="FFFFFF" w:themeColor="background1"/>
              </w:rPr>
              <w:t xml:space="preserve">Recommendation from the Third Review of the National Gene Technology Scheme </w:t>
            </w:r>
          </w:p>
        </w:tc>
        <w:tc>
          <w:tcPr>
            <w:tcW w:w="4961" w:type="dxa"/>
            <w:shd w:val="clear" w:color="auto" w:fill="008574"/>
            <w:vAlign w:val="center"/>
          </w:tcPr>
          <w:p w14:paraId="5A2556BB" w14:textId="3C0C20C0" w:rsidR="009C582C" w:rsidRPr="009C582C" w:rsidRDefault="009C582C" w:rsidP="009C582C">
            <w:pPr>
              <w:rPr>
                <w:b/>
                <w:color w:val="FFFFFF" w:themeColor="background1"/>
              </w:rPr>
            </w:pPr>
            <w:r w:rsidRPr="009C582C">
              <w:rPr>
                <w:b/>
                <w:color w:val="FFFFFF" w:themeColor="background1"/>
              </w:rPr>
              <w:t>Actions</w:t>
            </w:r>
          </w:p>
        </w:tc>
        <w:tc>
          <w:tcPr>
            <w:tcW w:w="2410" w:type="dxa"/>
            <w:shd w:val="clear" w:color="auto" w:fill="008574"/>
            <w:vAlign w:val="center"/>
          </w:tcPr>
          <w:p w14:paraId="657D232A" w14:textId="280C87D1" w:rsidR="009C582C" w:rsidRPr="009C582C" w:rsidRDefault="009C582C" w:rsidP="009C582C">
            <w:pPr>
              <w:rPr>
                <w:b/>
                <w:color w:val="FFFFFF" w:themeColor="background1"/>
              </w:rPr>
            </w:pPr>
            <w:r w:rsidRPr="009C582C">
              <w:rPr>
                <w:b/>
                <w:color w:val="FFFFFF" w:themeColor="background1"/>
              </w:rPr>
              <w:t xml:space="preserve">Commencement Timeframe (indicative) </w:t>
            </w:r>
          </w:p>
        </w:tc>
      </w:tr>
      <w:tr w:rsidR="009C582C" w14:paraId="1AEFDBB4" w14:textId="77777777" w:rsidTr="00D3773C">
        <w:trPr>
          <w:cantSplit/>
        </w:trPr>
        <w:tc>
          <w:tcPr>
            <w:tcW w:w="426" w:type="dxa"/>
            <w:tcBorders>
              <w:top w:val="single" w:sz="4" w:space="0" w:color="70AD47" w:themeColor="accent6"/>
              <w:bottom w:val="nil"/>
            </w:tcBorders>
          </w:tcPr>
          <w:p w14:paraId="7C93E376" w14:textId="49B9CB54" w:rsidR="009C582C" w:rsidRDefault="009C582C" w:rsidP="009C582C">
            <w:pPr>
              <w:rPr>
                <w:rFonts w:ascii="Helvetica LT Std" w:hAnsi="Helvetica LT Std" w:cs="Helvetica LT Std"/>
                <w:color w:val="FFFFFF"/>
                <w:sz w:val="23"/>
                <w:szCs w:val="23"/>
              </w:rPr>
            </w:pPr>
            <w:r w:rsidRPr="00B753F1">
              <w:t>1</w:t>
            </w:r>
          </w:p>
        </w:tc>
        <w:tc>
          <w:tcPr>
            <w:tcW w:w="7654" w:type="dxa"/>
            <w:tcBorders>
              <w:top w:val="single" w:sz="4" w:space="0" w:color="70AD47" w:themeColor="accent6"/>
              <w:bottom w:val="nil"/>
            </w:tcBorders>
          </w:tcPr>
          <w:p w14:paraId="15B40D15" w14:textId="77777777" w:rsidR="009C582C" w:rsidRPr="00B753F1" w:rsidRDefault="009C582C" w:rsidP="009C582C">
            <w:r w:rsidRPr="00B753F1">
              <w:t xml:space="preserve">To build upon and futureproof the Scheme, which is highly regarded, the Review recommends: </w:t>
            </w:r>
          </w:p>
          <w:p w14:paraId="3766A058" w14:textId="4EABDA38" w:rsidR="009C582C" w:rsidRPr="00850D97" w:rsidRDefault="009C582C" w:rsidP="009C582C">
            <w:pPr>
              <w:pStyle w:val="ListParagraph"/>
              <w:numPr>
                <w:ilvl w:val="0"/>
                <w:numId w:val="3"/>
              </w:numPr>
            </w:pPr>
            <w:r w:rsidRPr="00850D97">
              <w:t xml:space="preserve">the Forum progress options to update and enhance the operations of the Scheme; and </w:t>
            </w:r>
          </w:p>
          <w:p w14:paraId="508A0F11" w14:textId="022477CF" w:rsidR="009C582C" w:rsidRPr="00850D97" w:rsidRDefault="009C582C" w:rsidP="009C582C">
            <w:pPr>
              <w:pStyle w:val="ListParagraph"/>
              <w:numPr>
                <w:ilvl w:val="0"/>
                <w:numId w:val="3"/>
              </w:numPr>
            </w:pPr>
            <w:r w:rsidRPr="00B753F1">
              <w:t xml:space="preserve">these options be implemented in short, </w:t>
            </w:r>
            <w:proofErr w:type="gramStart"/>
            <w:r w:rsidRPr="00B753F1">
              <w:t>medium</w:t>
            </w:r>
            <w:proofErr w:type="gramEnd"/>
            <w:r w:rsidRPr="00B753F1">
              <w:t xml:space="preserve"> and long-term tranches, according to an action plan to be developed by the Forum.</w:t>
            </w:r>
          </w:p>
        </w:tc>
        <w:tc>
          <w:tcPr>
            <w:tcW w:w="4961" w:type="dxa"/>
          </w:tcPr>
          <w:p w14:paraId="73608E5F" w14:textId="77777777" w:rsidR="009C582C" w:rsidRPr="00850D97" w:rsidRDefault="009C582C" w:rsidP="009C582C">
            <w:r w:rsidRPr="00B753F1">
              <w:t xml:space="preserve">The Standing Committee to develop a detailed Implementation Plan, </w:t>
            </w:r>
            <w:proofErr w:type="gramStart"/>
            <w:r w:rsidRPr="00B753F1">
              <w:t>taking into account</w:t>
            </w:r>
            <w:proofErr w:type="gramEnd"/>
            <w:r w:rsidRPr="00B753F1">
              <w:t xml:space="preserve"> Forum agreed priorities </w:t>
            </w:r>
          </w:p>
          <w:p w14:paraId="5B70D9EA" w14:textId="77777777" w:rsidR="009C582C" w:rsidRDefault="009C582C" w:rsidP="009C582C"/>
        </w:tc>
        <w:tc>
          <w:tcPr>
            <w:tcW w:w="2410" w:type="dxa"/>
          </w:tcPr>
          <w:p w14:paraId="1364BE93" w14:textId="08CFE552" w:rsidR="009C582C" w:rsidRDefault="009C582C" w:rsidP="009C582C">
            <w:r>
              <w:t>2018–19</w:t>
            </w:r>
          </w:p>
        </w:tc>
      </w:tr>
      <w:tr w:rsidR="009C582C" w14:paraId="2E5AE252" w14:textId="77777777" w:rsidTr="00D3773C">
        <w:trPr>
          <w:cantSplit/>
        </w:trPr>
        <w:tc>
          <w:tcPr>
            <w:tcW w:w="426" w:type="dxa"/>
            <w:tcBorders>
              <w:top w:val="nil"/>
              <w:bottom w:val="nil"/>
            </w:tcBorders>
          </w:tcPr>
          <w:p w14:paraId="40D330BB" w14:textId="77777777" w:rsidR="009C582C" w:rsidRPr="00B753F1" w:rsidRDefault="009C582C" w:rsidP="009C582C"/>
        </w:tc>
        <w:tc>
          <w:tcPr>
            <w:tcW w:w="7654" w:type="dxa"/>
            <w:tcBorders>
              <w:top w:val="nil"/>
              <w:bottom w:val="nil"/>
            </w:tcBorders>
          </w:tcPr>
          <w:p w14:paraId="01014E6E" w14:textId="77777777" w:rsidR="009C582C" w:rsidRPr="00B753F1" w:rsidRDefault="009C582C" w:rsidP="009C582C"/>
        </w:tc>
        <w:tc>
          <w:tcPr>
            <w:tcW w:w="4961" w:type="dxa"/>
          </w:tcPr>
          <w:p w14:paraId="2A2A72EE" w14:textId="01E30BE5" w:rsidR="009C582C" w:rsidRPr="00B753F1" w:rsidRDefault="009C582C" w:rsidP="009C582C">
            <w:r w:rsidRPr="00B753F1">
              <w:t xml:space="preserve">Ongoing identification and Forum consideration of options to update and enhance operations of Scheme  </w:t>
            </w:r>
          </w:p>
        </w:tc>
        <w:tc>
          <w:tcPr>
            <w:tcW w:w="2410" w:type="dxa"/>
          </w:tcPr>
          <w:p w14:paraId="3987EB4E" w14:textId="3A0A452A" w:rsidR="009C582C" w:rsidRDefault="009C582C" w:rsidP="009C582C">
            <w:r>
              <w:t>2018–23</w:t>
            </w:r>
          </w:p>
        </w:tc>
      </w:tr>
      <w:tr w:rsidR="009C582C" w14:paraId="43C25861" w14:textId="77777777" w:rsidTr="00D3773C">
        <w:trPr>
          <w:cantSplit/>
        </w:trPr>
        <w:tc>
          <w:tcPr>
            <w:tcW w:w="426" w:type="dxa"/>
            <w:tcBorders>
              <w:top w:val="nil"/>
              <w:bottom w:val="nil"/>
            </w:tcBorders>
          </w:tcPr>
          <w:p w14:paraId="3D790EAA" w14:textId="77777777" w:rsidR="009C582C" w:rsidRPr="00B753F1" w:rsidRDefault="009C582C" w:rsidP="009C582C"/>
        </w:tc>
        <w:tc>
          <w:tcPr>
            <w:tcW w:w="7654" w:type="dxa"/>
            <w:tcBorders>
              <w:top w:val="nil"/>
              <w:bottom w:val="nil"/>
            </w:tcBorders>
          </w:tcPr>
          <w:p w14:paraId="683453B7" w14:textId="77777777" w:rsidR="009C582C" w:rsidRPr="00B753F1" w:rsidRDefault="009C582C" w:rsidP="009C582C"/>
        </w:tc>
        <w:tc>
          <w:tcPr>
            <w:tcW w:w="4961" w:type="dxa"/>
          </w:tcPr>
          <w:p w14:paraId="3A7C8A05" w14:textId="15068191" w:rsidR="009C582C" w:rsidRPr="00B753F1" w:rsidRDefault="009C582C" w:rsidP="009C582C">
            <w:r w:rsidRPr="00B753F1">
              <w:t xml:space="preserve">Forum considers outcomes of consultation </w:t>
            </w:r>
          </w:p>
        </w:tc>
        <w:tc>
          <w:tcPr>
            <w:tcW w:w="2410" w:type="dxa"/>
          </w:tcPr>
          <w:p w14:paraId="56C7A2EE" w14:textId="5C1E9172" w:rsidR="009C582C" w:rsidRDefault="009C582C" w:rsidP="009C582C">
            <w:r>
              <w:t>2019–20</w:t>
            </w:r>
          </w:p>
        </w:tc>
      </w:tr>
      <w:tr w:rsidR="009C582C" w14:paraId="62797749" w14:textId="77777777" w:rsidTr="00D3773C">
        <w:trPr>
          <w:cantSplit/>
        </w:trPr>
        <w:tc>
          <w:tcPr>
            <w:tcW w:w="426" w:type="dxa"/>
            <w:tcBorders>
              <w:top w:val="nil"/>
              <w:bottom w:val="single" w:sz="4" w:space="0" w:color="70AD47" w:themeColor="accent6"/>
            </w:tcBorders>
          </w:tcPr>
          <w:p w14:paraId="28D7836B" w14:textId="77777777" w:rsidR="009C582C" w:rsidRPr="00B753F1" w:rsidRDefault="009C582C" w:rsidP="009C582C"/>
        </w:tc>
        <w:tc>
          <w:tcPr>
            <w:tcW w:w="7654" w:type="dxa"/>
            <w:tcBorders>
              <w:top w:val="nil"/>
              <w:bottom w:val="single" w:sz="4" w:space="0" w:color="70AD47" w:themeColor="accent6"/>
            </w:tcBorders>
          </w:tcPr>
          <w:p w14:paraId="6ED9604F" w14:textId="77777777" w:rsidR="009C582C" w:rsidRPr="00B753F1" w:rsidRDefault="009C582C" w:rsidP="009C582C"/>
        </w:tc>
        <w:tc>
          <w:tcPr>
            <w:tcW w:w="4961" w:type="dxa"/>
          </w:tcPr>
          <w:p w14:paraId="245098A2" w14:textId="68E21E15" w:rsidR="009C582C" w:rsidRPr="00B753F1" w:rsidRDefault="009C582C" w:rsidP="009C582C">
            <w:r w:rsidRPr="00B753F1">
              <w:t>Implement outcome, including legislative amendment where required</w:t>
            </w:r>
          </w:p>
        </w:tc>
        <w:tc>
          <w:tcPr>
            <w:tcW w:w="2410" w:type="dxa"/>
          </w:tcPr>
          <w:p w14:paraId="42FC41EA" w14:textId="0C987877" w:rsidR="009C582C" w:rsidRDefault="009C582C" w:rsidP="009C582C">
            <w:r>
              <w:t>2020–23</w:t>
            </w:r>
          </w:p>
        </w:tc>
      </w:tr>
      <w:tr w:rsidR="009C582C" w14:paraId="246084AB" w14:textId="77777777" w:rsidTr="00D3773C">
        <w:trPr>
          <w:cantSplit/>
        </w:trPr>
        <w:tc>
          <w:tcPr>
            <w:tcW w:w="426" w:type="dxa"/>
            <w:tcBorders>
              <w:top w:val="single" w:sz="4" w:space="0" w:color="70AD47" w:themeColor="accent6"/>
            </w:tcBorders>
          </w:tcPr>
          <w:p w14:paraId="46EA7A1E" w14:textId="25CE50D1" w:rsidR="009C582C" w:rsidRPr="00B753F1" w:rsidRDefault="009C582C" w:rsidP="009C582C">
            <w:r>
              <w:lastRenderedPageBreak/>
              <w:t>4</w:t>
            </w:r>
          </w:p>
        </w:tc>
        <w:tc>
          <w:tcPr>
            <w:tcW w:w="7654" w:type="dxa"/>
            <w:tcBorders>
              <w:top w:val="single" w:sz="4" w:space="0" w:color="70AD47" w:themeColor="accent6"/>
            </w:tcBorders>
          </w:tcPr>
          <w:p w14:paraId="2C5BB4DB" w14:textId="7FB920D7" w:rsidR="009C582C" w:rsidRPr="00B753F1" w:rsidRDefault="009C582C" w:rsidP="009C582C">
            <w:r w:rsidRPr="00B753F1">
              <w:t xml:space="preserve">The Review recommends updating, where required, the existing definitions in the </w:t>
            </w:r>
            <w:r w:rsidRPr="00B753F1">
              <w:rPr>
                <w:i/>
                <w:iCs/>
              </w:rPr>
              <w:t xml:space="preserve">Gene Technology Act 2000 </w:t>
            </w:r>
            <w:r w:rsidRPr="00B753F1">
              <w:t xml:space="preserve">to clarify the scope of regulation, </w:t>
            </w:r>
            <w:proofErr w:type="gramStart"/>
            <w:r w:rsidRPr="00B753F1">
              <w:t>in light of</w:t>
            </w:r>
            <w:proofErr w:type="gramEnd"/>
            <w:r w:rsidRPr="00B753F1">
              <w:t xml:space="preserve"> ongoing technical advances. Any changes to definitions should </w:t>
            </w:r>
            <w:proofErr w:type="gramStart"/>
            <w:r w:rsidRPr="00B753F1">
              <w:t>take into account</w:t>
            </w:r>
            <w:proofErr w:type="gramEnd"/>
            <w:r w:rsidRPr="00B753F1">
              <w:t xml:space="preserve"> concurrent work, including relevant domestic reviews and ongoing work internationally.</w:t>
            </w:r>
          </w:p>
        </w:tc>
        <w:tc>
          <w:tcPr>
            <w:tcW w:w="4961" w:type="dxa"/>
          </w:tcPr>
          <w:p w14:paraId="5535F4DF" w14:textId="3FFCA7C3" w:rsidR="009C582C" w:rsidRPr="00B753F1" w:rsidRDefault="009C582C" w:rsidP="009C582C">
            <w:r w:rsidRPr="00B753F1">
              <w:t>Develop options for public consultation on proposed revisions to definitions</w:t>
            </w:r>
          </w:p>
        </w:tc>
        <w:tc>
          <w:tcPr>
            <w:tcW w:w="2410" w:type="dxa"/>
          </w:tcPr>
          <w:p w14:paraId="11FFFB83" w14:textId="74B7B63F" w:rsidR="009C582C" w:rsidRDefault="009C582C" w:rsidP="009C582C">
            <w:r>
              <w:t>2018–20</w:t>
            </w:r>
          </w:p>
        </w:tc>
      </w:tr>
      <w:tr w:rsidR="009C582C" w14:paraId="63DF597F" w14:textId="77777777" w:rsidTr="00D3773C">
        <w:trPr>
          <w:cantSplit/>
        </w:trPr>
        <w:tc>
          <w:tcPr>
            <w:tcW w:w="426" w:type="dxa"/>
            <w:tcBorders>
              <w:bottom w:val="nil"/>
            </w:tcBorders>
          </w:tcPr>
          <w:p w14:paraId="0D6B784A" w14:textId="0A794AC3" w:rsidR="009C582C" w:rsidRDefault="009C582C" w:rsidP="009C582C">
            <w:r>
              <w:t>6</w:t>
            </w:r>
          </w:p>
        </w:tc>
        <w:tc>
          <w:tcPr>
            <w:tcW w:w="7654" w:type="dxa"/>
            <w:tcBorders>
              <w:bottom w:val="nil"/>
            </w:tcBorders>
          </w:tcPr>
          <w:p w14:paraId="27EB2776" w14:textId="77777777" w:rsidR="009C582C" w:rsidRPr="00B753F1" w:rsidRDefault="009C582C" w:rsidP="009C582C">
            <w:r w:rsidRPr="00B753F1">
              <w:t xml:space="preserve">The Review recommends: </w:t>
            </w:r>
          </w:p>
          <w:p w14:paraId="03558FE5" w14:textId="4B4B1CA2" w:rsidR="009C582C" w:rsidRPr="00850D97" w:rsidRDefault="009C582C" w:rsidP="009C582C">
            <w:pPr>
              <w:pStyle w:val="ListParagraph"/>
              <w:numPr>
                <w:ilvl w:val="0"/>
                <w:numId w:val="2"/>
              </w:numPr>
            </w:pPr>
            <w:r w:rsidRPr="00850D97">
              <w:t xml:space="preserve">the definition of a genetically modified organism under the </w:t>
            </w:r>
            <w:r w:rsidRPr="00850D97">
              <w:rPr>
                <w:i/>
                <w:iCs/>
              </w:rPr>
              <w:t xml:space="preserve">Gene Technology Act 2000 </w:t>
            </w:r>
            <w:r w:rsidRPr="00850D97">
              <w:t>(</w:t>
            </w:r>
            <w:proofErr w:type="spellStart"/>
            <w:r w:rsidRPr="00850D97">
              <w:t>Cth</w:t>
            </w:r>
            <w:proofErr w:type="spellEnd"/>
            <w:r w:rsidRPr="00850D97">
              <w:t xml:space="preserve">) be amended to clarify that humans are not [considered to be] GMOs; and that </w:t>
            </w:r>
          </w:p>
          <w:p w14:paraId="6EF2632E" w14:textId="6A53247B" w:rsidR="009C582C" w:rsidRPr="00850D97" w:rsidRDefault="009C582C" w:rsidP="009C582C">
            <w:pPr>
              <w:pStyle w:val="ListParagraph"/>
              <w:numPr>
                <w:ilvl w:val="0"/>
                <w:numId w:val="2"/>
              </w:numPr>
            </w:pPr>
            <w:r w:rsidRPr="00B753F1">
              <w:t>subject to consideration, the COAG Health Council might also consider whether additional regulatory oversight is needed for humans who may receive or inherit germline therapies (or other somatic therapies not within the remit of the Scheme). The COAG Health Council should also consider which regulatory (or other) body would be most appropriate to undertake such oversight.</w:t>
            </w:r>
          </w:p>
        </w:tc>
        <w:tc>
          <w:tcPr>
            <w:tcW w:w="4961" w:type="dxa"/>
          </w:tcPr>
          <w:p w14:paraId="63D3D3AB" w14:textId="66F6FE1D" w:rsidR="009C582C" w:rsidRPr="00B753F1" w:rsidRDefault="009C582C" w:rsidP="009C582C">
            <w:r w:rsidRPr="00B753F1">
              <w:t>Development of options for public consultation on GMO definition (undertaken during broader consultation arising from Rec 4</w:t>
            </w:r>
            <w:r>
              <w:t>)</w:t>
            </w:r>
          </w:p>
        </w:tc>
        <w:tc>
          <w:tcPr>
            <w:tcW w:w="2410" w:type="dxa"/>
          </w:tcPr>
          <w:p w14:paraId="506C3FFB" w14:textId="3E784039" w:rsidR="009C582C" w:rsidRDefault="00921F38" w:rsidP="009C582C">
            <w:r>
              <w:t>2018–20</w:t>
            </w:r>
          </w:p>
        </w:tc>
      </w:tr>
      <w:tr w:rsidR="009C582C" w14:paraId="45646DCF" w14:textId="77777777" w:rsidTr="00D3773C">
        <w:trPr>
          <w:cantSplit/>
        </w:trPr>
        <w:tc>
          <w:tcPr>
            <w:tcW w:w="426" w:type="dxa"/>
            <w:tcBorders>
              <w:top w:val="nil"/>
              <w:bottom w:val="nil"/>
            </w:tcBorders>
          </w:tcPr>
          <w:p w14:paraId="0F9400AC" w14:textId="77777777" w:rsidR="009C582C" w:rsidRDefault="009C582C" w:rsidP="009C582C"/>
        </w:tc>
        <w:tc>
          <w:tcPr>
            <w:tcW w:w="7654" w:type="dxa"/>
            <w:tcBorders>
              <w:top w:val="nil"/>
              <w:bottom w:val="nil"/>
            </w:tcBorders>
          </w:tcPr>
          <w:p w14:paraId="3BEA7A1C" w14:textId="77777777" w:rsidR="009C582C" w:rsidRPr="00B753F1" w:rsidRDefault="009C582C" w:rsidP="009C582C"/>
        </w:tc>
        <w:tc>
          <w:tcPr>
            <w:tcW w:w="4961" w:type="dxa"/>
          </w:tcPr>
          <w:p w14:paraId="2D5B63C8" w14:textId="16EE7282" w:rsidR="009C582C" w:rsidRPr="00B753F1" w:rsidRDefault="009C582C" w:rsidP="009C582C">
            <w:r w:rsidRPr="00B753F1">
              <w:t>Forum considers outcomes</w:t>
            </w:r>
          </w:p>
        </w:tc>
        <w:tc>
          <w:tcPr>
            <w:tcW w:w="2410" w:type="dxa"/>
          </w:tcPr>
          <w:p w14:paraId="260FC0CE" w14:textId="279D4675" w:rsidR="009C582C" w:rsidRDefault="00921F38" w:rsidP="009C582C">
            <w:r>
              <w:t>2019–20</w:t>
            </w:r>
          </w:p>
        </w:tc>
      </w:tr>
      <w:tr w:rsidR="009C582C" w14:paraId="551A4A93" w14:textId="77777777" w:rsidTr="00D3773C">
        <w:trPr>
          <w:cantSplit/>
        </w:trPr>
        <w:tc>
          <w:tcPr>
            <w:tcW w:w="426" w:type="dxa"/>
            <w:tcBorders>
              <w:top w:val="nil"/>
              <w:bottom w:val="nil"/>
            </w:tcBorders>
          </w:tcPr>
          <w:p w14:paraId="0DAB935A" w14:textId="77777777" w:rsidR="009C582C" w:rsidRDefault="009C582C" w:rsidP="009C582C"/>
        </w:tc>
        <w:tc>
          <w:tcPr>
            <w:tcW w:w="7654" w:type="dxa"/>
            <w:tcBorders>
              <w:top w:val="nil"/>
              <w:bottom w:val="nil"/>
            </w:tcBorders>
          </w:tcPr>
          <w:p w14:paraId="0A408F75" w14:textId="77777777" w:rsidR="009C582C" w:rsidRPr="00B753F1" w:rsidRDefault="009C582C" w:rsidP="009C582C"/>
        </w:tc>
        <w:tc>
          <w:tcPr>
            <w:tcW w:w="4961" w:type="dxa"/>
          </w:tcPr>
          <w:p w14:paraId="69CC31F9" w14:textId="6CABC69C" w:rsidR="009C582C" w:rsidRPr="00B753F1" w:rsidRDefault="009C582C" w:rsidP="009C582C">
            <w:r w:rsidRPr="00B753F1">
              <w:t>Implement outcome, including legislative amendment where required</w:t>
            </w:r>
          </w:p>
        </w:tc>
        <w:tc>
          <w:tcPr>
            <w:tcW w:w="2410" w:type="dxa"/>
          </w:tcPr>
          <w:p w14:paraId="59A61FAE" w14:textId="31479B07" w:rsidR="009C582C" w:rsidRDefault="00921F38" w:rsidP="009C582C">
            <w:r>
              <w:t>2019–23</w:t>
            </w:r>
          </w:p>
        </w:tc>
      </w:tr>
      <w:tr w:rsidR="009C582C" w14:paraId="51A4B842" w14:textId="77777777" w:rsidTr="00D3773C">
        <w:trPr>
          <w:cantSplit/>
        </w:trPr>
        <w:tc>
          <w:tcPr>
            <w:tcW w:w="426" w:type="dxa"/>
            <w:tcBorders>
              <w:top w:val="nil"/>
            </w:tcBorders>
          </w:tcPr>
          <w:p w14:paraId="58C40379" w14:textId="77777777" w:rsidR="009C582C" w:rsidRDefault="009C582C" w:rsidP="009C582C"/>
        </w:tc>
        <w:tc>
          <w:tcPr>
            <w:tcW w:w="7654" w:type="dxa"/>
            <w:tcBorders>
              <w:top w:val="nil"/>
            </w:tcBorders>
          </w:tcPr>
          <w:p w14:paraId="72C61843" w14:textId="77777777" w:rsidR="009C582C" w:rsidRPr="00B753F1" w:rsidRDefault="009C582C" w:rsidP="009C582C"/>
        </w:tc>
        <w:tc>
          <w:tcPr>
            <w:tcW w:w="4961" w:type="dxa"/>
          </w:tcPr>
          <w:p w14:paraId="349DC457" w14:textId="373D8F13" w:rsidR="009C582C" w:rsidRPr="00B753F1" w:rsidRDefault="009C582C" w:rsidP="009C582C">
            <w:r w:rsidRPr="00B753F1">
              <w:t>Refer the issue (as outlined in Recommendation 6b) to COAG Health Council for consideration, and if required, development of options to address.</w:t>
            </w:r>
          </w:p>
        </w:tc>
        <w:tc>
          <w:tcPr>
            <w:tcW w:w="2410" w:type="dxa"/>
          </w:tcPr>
          <w:p w14:paraId="23821D24" w14:textId="2A8C4FB8" w:rsidR="009C582C" w:rsidRDefault="00921F38" w:rsidP="009C582C">
            <w:r>
              <w:t>2019–20</w:t>
            </w:r>
          </w:p>
        </w:tc>
      </w:tr>
      <w:tr w:rsidR="009C582C" w14:paraId="696A6CDF" w14:textId="77777777" w:rsidTr="00D3773C">
        <w:trPr>
          <w:cantSplit/>
        </w:trPr>
        <w:tc>
          <w:tcPr>
            <w:tcW w:w="426" w:type="dxa"/>
            <w:tcBorders>
              <w:bottom w:val="nil"/>
            </w:tcBorders>
          </w:tcPr>
          <w:p w14:paraId="56D87F81" w14:textId="32DF87D2" w:rsidR="009C582C" w:rsidRDefault="009C582C" w:rsidP="009C582C">
            <w:r>
              <w:t>7</w:t>
            </w:r>
          </w:p>
        </w:tc>
        <w:tc>
          <w:tcPr>
            <w:tcW w:w="7654" w:type="dxa"/>
            <w:tcBorders>
              <w:bottom w:val="nil"/>
            </w:tcBorders>
          </w:tcPr>
          <w:p w14:paraId="7B22A29C" w14:textId="77777777" w:rsidR="009C582C" w:rsidRPr="00B753F1" w:rsidRDefault="009C582C" w:rsidP="009C582C">
            <w:r w:rsidRPr="00B753F1">
              <w:t xml:space="preserve">The Review recommends clarifying, and where necessary strengthening, the mechanisms for regulating the: </w:t>
            </w:r>
          </w:p>
          <w:p w14:paraId="7AC54789" w14:textId="7E87BB87" w:rsidR="009C582C" w:rsidRDefault="009C582C" w:rsidP="009C582C">
            <w:pPr>
              <w:pStyle w:val="ListParagraph"/>
              <w:numPr>
                <w:ilvl w:val="0"/>
                <w:numId w:val="4"/>
              </w:numPr>
            </w:pPr>
            <w:r w:rsidRPr="00B753F1">
              <w:t xml:space="preserve">broader environmental release of genetically modified organisms; and </w:t>
            </w:r>
          </w:p>
          <w:p w14:paraId="4AA060C3" w14:textId="5A06C70D" w:rsidR="009C582C" w:rsidRPr="00B753F1" w:rsidRDefault="009C582C" w:rsidP="009C582C">
            <w:pPr>
              <w:pStyle w:val="ListParagraph"/>
              <w:numPr>
                <w:ilvl w:val="0"/>
                <w:numId w:val="4"/>
              </w:numPr>
            </w:pPr>
            <w:r w:rsidRPr="00B753F1">
              <w:t>environmental release of GM gene drive organisms (as well as any additional requirements for contained work)</w:t>
            </w:r>
            <w:r>
              <w:t>.</w:t>
            </w:r>
          </w:p>
        </w:tc>
        <w:tc>
          <w:tcPr>
            <w:tcW w:w="4961" w:type="dxa"/>
          </w:tcPr>
          <w:p w14:paraId="05ACFE12" w14:textId="5961AFDD" w:rsidR="009C582C" w:rsidRPr="00B753F1" w:rsidRDefault="009C582C" w:rsidP="009C582C">
            <w:r w:rsidRPr="00B753F1">
              <w:t>Identify any regulatory mechanisms that require strengthening, and develop administrative and legislative options to address; consult as needed</w:t>
            </w:r>
          </w:p>
        </w:tc>
        <w:tc>
          <w:tcPr>
            <w:tcW w:w="2410" w:type="dxa"/>
          </w:tcPr>
          <w:p w14:paraId="589BBB39" w14:textId="37D5F257" w:rsidR="009C582C" w:rsidRDefault="00921F38" w:rsidP="009C582C">
            <w:r>
              <w:t>2018–19</w:t>
            </w:r>
          </w:p>
        </w:tc>
      </w:tr>
      <w:tr w:rsidR="009C582C" w14:paraId="5ECE6E59" w14:textId="77777777" w:rsidTr="00D3773C">
        <w:trPr>
          <w:cantSplit/>
        </w:trPr>
        <w:tc>
          <w:tcPr>
            <w:tcW w:w="426" w:type="dxa"/>
            <w:tcBorders>
              <w:top w:val="nil"/>
              <w:bottom w:val="nil"/>
            </w:tcBorders>
          </w:tcPr>
          <w:p w14:paraId="153E8FB9" w14:textId="77777777" w:rsidR="009C582C" w:rsidRDefault="009C582C" w:rsidP="009C582C"/>
        </w:tc>
        <w:tc>
          <w:tcPr>
            <w:tcW w:w="7654" w:type="dxa"/>
            <w:tcBorders>
              <w:top w:val="nil"/>
              <w:bottom w:val="nil"/>
            </w:tcBorders>
          </w:tcPr>
          <w:p w14:paraId="1C1C586B" w14:textId="77777777" w:rsidR="009C582C" w:rsidRPr="00B753F1" w:rsidRDefault="009C582C" w:rsidP="009C582C"/>
        </w:tc>
        <w:tc>
          <w:tcPr>
            <w:tcW w:w="4961" w:type="dxa"/>
          </w:tcPr>
          <w:p w14:paraId="0678BACB" w14:textId="575A8238" w:rsidR="009C582C" w:rsidRPr="00B753F1" w:rsidRDefault="009C582C" w:rsidP="009C582C">
            <w:r w:rsidRPr="00B753F1">
              <w:t>Forum considers outcomes</w:t>
            </w:r>
          </w:p>
        </w:tc>
        <w:tc>
          <w:tcPr>
            <w:tcW w:w="2410" w:type="dxa"/>
          </w:tcPr>
          <w:p w14:paraId="60A2C0E1" w14:textId="59707B50" w:rsidR="009C582C" w:rsidRDefault="00921F38" w:rsidP="009C582C">
            <w:r>
              <w:t>2019–20</w:t>
            </w:r>
          </w:p>
        </w:tc>
      </w:tr>
      <w:tr w:rsidR="009C582C" w14:paraId="71A38324" w14:textId="77777777" w:rsidTr="00D3773C">
        <w:trPr>
          <w:cantSplit/>
        </w:trPr>
        <w:tc>
          <w:tcPr>
            <w:tcW w:w="426" w:type="dxa"/>
            <w:tcBorders>
              <w:top w:val="nil"/>
            </w:tcBorders>
          </w:tcPr>
          <w:p w14:paraId="5BD871C6" w14:textId="77777777" w:rsidR="009C582C" w:rsidRDefault="009C582C" w:rsidP="009C582C"/>
        </w:tc>
        <w:tc>
          <w:tcPr>
            <w:tcW w:w="7654" w:type="dxa"/>
            <w:tcBorders>
              <w:top w:val="nil"/>
            </w:tcBorders>
          </w:tcPr>
          <w:p w14:paraId="1991AB0C" w14:textId="77777777" w:rsidR="009C582C" w:rsidRPr="00B753F1" w:rsidRDefault="009C582C" w:rsidP="009C582C"/>
        </w:tc>
        <w:tc>
          <w:tcPr>
            <w:tcW w:w="4961" w:type="dxa"/>
          </w:tcPr>
          <w:p w14:paraId="045BB757" w14:textId="28EAF816" w:rsidR="009C582C" w:rsidRPr="00B753F1" w:rsidRDefault="009C582C" w:rsidP="009C582C">
            <w:r w:rsidRPr="00B753F1">
              <w:t>Implement outcome, including any administrative and legislative amendment (if required)</w:t>
            </w:r>
          </w:p>
        </w:tc>
        <w:tc>
          <w:tcPr>
            <w:tcW w:w="2410" w:type="dxa"/>
          </w:tcPr>
          <w:p w14:paraId="4D953F20" w14:textId="3CC0E031" w:rsidR="009C582C" w:rsidRDefault="00921F38" w:rsidP="009C582C">
            <w:r>
              <w:t>2020–22</w:t>
            </w:r>
          </w:p>
        </w:tc>
      </w:tr>
      <w:tr w:rsidR="009C582C" w14:paraId="1E1296B9" w14:textId="77777777" w:rsidTr="00D3773C">
        <w:trPr>
          <w:cantSplit/>
        </w:trPr>
        <w:tc>
          <w:tcPr>
            <w:tcW w:w="426" w:type="dxa"/>
            <w:tcBorders>
              <w:bottom w:val="nil"/>
            </w:tcBorders>
          </w:tcPr>
          <w:p w14:paraId="483E6DAC" w14:textId="4A2CEEE1" w:rsidR="009C582C" w:rsidRDefault="009C582C" w:rsidP="009C582C">
            <w:r>
              <w:lastRenderedPageBreak/>
              <w:t>9</w:t>
            </w:r>
          </w:p>
        </w:tc>
        <w:tc>
          <w:tcPr>
            <w:tcW w:w="7654" w:type="dxa"/>
            <w:tcBorders>
              <w:bottom w:val="nil"/>
            </w:tcBorders>
          </w:tcPr>
          <w:p w14:paraId="4D9A5FC7" w14:textId="77777777" w:rsidR="009C582C" w:rsidRPr="008D6AA6" w:rsidRDefault="009C582C" w:rsidP="009C582C">
            <w:pPr>
              <w:tabs>
                <w:tab w:val="clear" w:pos="2092"/>
                <w:tab w:val="clear" w:pos="4076"/>
              </w:tabs>
            </w:pPr>
            <w:r w:rsidRPr="008D6AA6">
              <w:t xml:space="preserve">The Review recommends the introduction of additional risk tiering into the Scheme, to facilitate flexibility of the regulatory Scheme and ensure: </w:t>
            </w:r>
          </w:p>
          <w:p w14:paraId="36592BFC" w14:textId="4F21B949" w:rsidR="009C582C" w:rsidRDefault="009C582C" w:rsidP="009C582C">
            <w:pPr>
              <w:pStyle w:val="ListParagraph"/>
              <w:numPr>
                <w:ilvl w:val="0"/>
                <w:numId w:val="6"/>
              </w:numPr>
              <w:tabs>
                <w:tab w:val="clear" w:pos="2092"/>
                <w:tab w:val="clear" w:pos="4076"/>
              </w:tabs>
            </w:pPr>
            <w:r w:rsidRPr="008D6AA6">
              <w:t xml:space="preserve">the level of regulation remains proportionate to risk, and protects against under regulation and over-regulation; and </w:t>
            </w:r>
          </w:p>
          <w:p w14:paraId="1E0246D0" w14:textId="51539165" w:rsidR="009C582C" w:rsidRPr="00B753F1" w:rsidRDefault="009C582C" w:rsidP="009C582C">
            <w:pPr>
              <w:pStyle w:val="ListParagraph"/>
              <w:numPr>
                <w:ilvl w:val="0"/>
                <w:numId w:val="6"/>
              </w:numPr>
              <w:tabs>
                <w:tab w:val="clear" w:pos="2092"/>
                <w:tab w:val="clear" w:pos="4076"/>
              </w:tabs>
            </w:pPr>
            <w:r w:rsidRPr="008D6AA6">
              <w:t>where appropriate, there is flexibility to move organisms between categories, based on identification of new risks, a history of safe use, or other relevant factors</w:t>
            </w:r>
            <w:r>
              <w:t>.</w:t>
            </w:r>
          </w:p>
        </w:tc>
        <w:tc>
          <w:tcPr>
            <w:tcW w:w="4961" w:type="dxa"/>
          </w:tcPr>
          <w:p w14:paraId="1FF9061C" w14:textId="77777777" w:rsidR="009C582C" w:rsidRPr="008D6AA6" w:rsidRDefault="009C582C" w:rsidP="009C582C">
            <w:pPr>
              <w:tabs>
                <w:tab w:val="clear" w:pos="2092"/>
                <w:tab w:val="clear" w:pos="4076"/>
              </w:tabs>
            </w:pPr>
            <w:r w:rsidRPr="008D6AA6">
              <w:t xml:space="preserve">Further develop the current risk tiering framework; consult as needed to inform approach </w:t>
            </w:r>
          </w:p>
          <w:p w14:paraId="58635F8B" w14:textId="77777777" w:rsidR="009C582C" w:rsidRPr="00B753F1" w:rsidRDefault="009C582C" w:rsidP="009C582C"/>
        </w:tc>
        <w:tc>
          <w:tcPr>
            <w:tcW w:w="2410" w:type="dxa"/>
          </w:tcPr>
          <w:p w14:paraId="77554A5C" w14:textId="6CFBC0EE" w:rsidR="009C582C" w:rsidRDefault="00921F38" w:rsidP="009C582C">
            <w:r>
              <w:t>2018–20</w:t>
            </w:r>
          </w:p>
        </w:tc>
      </w:tr>
      <w:tr w:rsidR="009C582C" w14:paraId="2504D58A" w14:textId="77777777" w:rsidTr="00D3773C">
        <w:trPr>
          <w:cantSplit/>
        </w:trPr>
        <w:tc>
          <w:tcPr>
            <w:tcW w:w="426" w:type="dxa"/>
            <w:tcBorders>
              <w:top w:val="nil"/>
              <w:bottom w:val="nil"/>
            </w:tcBorders>
          </w:tcPr>
          <w:p w14:paraId="790E1BCF" w14:textId="77777777" w:rsidR="009C582C" w:rsidRDefault="009C582C" w:rsidP="009C582C"/>
        </w:tc>
        <w:tc>
          <w:tcPr>
            <w:tcW w:w="7654" w:type="dxa"/>
            <w:tcBorders>
              <w:top w:val="nil"/>
              <w:bottom w:val="nil"/>
            </w:tcBorders>
          </w:tcPr>
          <w:p w14:paraId="2D4DCCFC" w14:textId="77777777" w:rsidR="009C582C" w:rsidRPr="008D6AA6" w:rsidRDefault="009C582C" w:rsidP="009C582C">
            <w:pPr>
              <w:tabs>
                <w:tab w:val="clear" w:pos="2092"/>
                <w:tab w:val="clear" w:pos="4076"/>
              </w:tabs>
            </w:pPr>
          </w:p>
        </w:tc>
        <w:tc>
          <w:tcPr>
            <w:tcW w:w="4961" w:type="dxa"/>
          </w:tcPr>
          <w:p w14:paraId="1CBDB1E5" w14:textId="297D2704" w:rsidR="009C582C" w:rsidRPr="008D6AA6" w:rsidRDefault="009C582C" w:rsidP="009C582C">
            <w:pPr>
              <w:tabs>
                <w:tab w:val="clear" w:pos="2092"/>
                <w:tab w:val="clear" w:pos="4076"/>
              </w:tabs>
            </w:pPr>
            <w:r w:rsidRPr="008D6AA6">
              <w:t xml:space="preserve">Report to Forum on administrative and legislative amendments to adopt improvements </w:t>
            </w:r>
          </w:p>
        </w:tc>
        <w:tc>
          <w:tcPr>
            <w:tcW w:w="2410" w:type="dxa"/>
          </w:tcPr>
          <w:p w14:paraId="345E6992" w14:textId="042A15C9" w:rsidR="009C582C" w:rsidRDefault="00921F38" w:rsidP="009C582C">
            <w:r>
              <w:t>2019–20</w:t>
            </w:r>
          </w:p>
        </w:tc>
      </w:tr>
      <w:tr w:rsidR="009C582C" w14:paraId="5A5B0C36" w14:textId="77777777" w:rsidTr="00D3773C">
        <w:trPr>
          <w:cantSplit/>
        </w:trPr>
        <w:tc>
          <w:tcPr>
            <w:tcW w:w="426" w:type="dxa"/>
            <w:tcBorders>
              <w:top w:val="nil"/>
            </w:tcBorders>
          </w:tcPr>
          <w:p w14:paraId="526B1770" w14:textId="77777777" w:rsidR="009C582C" w:rsidRDefault="009C582C" w:rsidP="009C582C"/>
        </w:tc>
        <w:tc>
          <w:tcPr>
            <w:tcW w:w="7654" w:type="dxa"/>
            <w:tcBorders>
              <w:top w:val="nil"/>
            </w:tcBorders>
          </w:tcPr>
          <w:p w14:paraId="716EF3A2" w14:textId="77777777" w:rsidR="009C582C" w:rsidRPr="008D6AA6" w:rsidRDefault="009C582C" w:rsidP="009C582C">
            <w:pPr>
              <w:tabs>
                <w:tab w:val="clear" w:pos="2092"/>
                <w:tab w:val="clear" w:pos="4076"/>
              </w:tabs>
            </w:pPr>
          </w:p>
        </w:tc>
        <w:tc>
          <w:tcPr>
            <w:tcW w:w="4961" w:type="dxa"/>
          </w:tcPr>
          <w:p w14:paraId="488586C9" w14:textId="09471979" w:rsidR="009C582C" w:rsidRPr="008D6AA6" w:rsidRDefault="009C582C" w:rsidP="009C582C">
            <w:pPr>
              <w:tabs>
                <w:tab w:val="clear" w:pos="2092"/>
                <w:tab w:val="clear" w:pos="4076"/>
              </w:tabs>
            </w:pPr>
            <w:r w:rsidRPr="008D6AA6">
              <w:t xml:space="preserve">Consider implementation of actions, including any administrative and legislative amendment (if required) </w:t>
            </w:r>
          </w:p>
        </w:tc>
        <w:tc>
          <w:tcPr>
            <w:tcW w:w="2410" w:type="dxa"/>
          </w:tcPr>
          <w:p w14:paraId="4590AD74" w14:textId="6DA0682B" w:rsidR="009C582C" w:rsidRDefault="00921F38" w:rsidP="009C582C">
            <w:r>
              <w:t>2019–23</w:t>
            </w:r>
          </w:p>
        </w:tc>
      </w:tr>
      <w:tr w:rsidR="009C582C" w14:paraId="03A1279E" w14:textId="77777777" w:rsidTr="00D3773C">
        <w:trPr>
          <w:cantSplit/>
        </w:trPr>
        <w:tc>
          <w:tcPr>
            <w:tcW w:w="426" w:type="dxa"/>
            <w:tcBorders>
              <w:bottom w:val="nil"/>
            </w:tcBorders>
          </w:tcPr>
          <w:p w14:paraId="4DF42152" w14:textId="57481924" w:rsidR="009C582C" w:rsidRDefault="009C582C" w:rsidP="009C582C">
            <w:r w:rsidRPr="008D6AA6">
              <w:t>10</w:t>
            </w:r>
          </w:p>
        </w:tc>
        <w:tc>
          <w:tcPr>
            <w:tcW w:w="7654" w:type="dxa"/>
            <w:tcBorders>
              <w:bottom w:val="nil"/>
            </w:tcBorders>
          </w:tcPr>
          <w:p w14:paraId="29AF32B0" w14:textId="78C270B3" w:rsidR="009C582C" w:rsidRPr="008D6AA6" w:rsidRDefault="009C582C" w:rsidP="009C582C">
            <w:pPr>
              <w:tabs>
                <w:tab w:val="clear" w:pos="2092"/>
                <w:tab w:val="clear" w:pos="4076"/>
              </w:tabs>
            </w:pPr>
            <w:r w:rsidRPr="008D6AA6">
              <w:t xml:space="preserve">The Review recommends reducing regulatory burden through streamlining processes and current regulatory requirements where appropriate. For example, this may include streamlining facility certifications and application processes. </w:t>
            </w:r>
          </w:p>
        </w:tc>
        <w:tc>
          <w:tcPr>
            <w:tcW w:w="4961" w:type="dxa"/>
          </w:tcPr>
          <w:p w14:paraId="413852FE" w14:textId="1DDD0520" w:rsidR="009C582C" w:rsidRPr="008D6AA6" w:rsidRDefault="009C582C" w:rsidP="009C582C">
            <w:pPr>
              <w:tabs>
                <w:tab w:val="clear" w:pos="2092"/>
                <w:tab w:val="clear" w:pos="4076"/>
              </w:tabs>
            </w:pPr>
            <w:r w:rsidRPr="008D6AA6">
              <w:t xml:space="preserve">Identify any regulatory processes and requirements that can be streamlined; consult as needed to inform </w:t>
            </w:r>
          </w:p>
        </w:tc>
        <w:tc>
          <w:tcPr>
            <w:tcW w:w="2410" w:type="dxa"/>
          </w:tcPr>
          <w:p w14:paraId="28D4B7EF" w14:textId="0D98C05B" w:rsidR="009C582C" w:rsidRDefault="00921F38" w:rsidP="009C582C">
            <w:r>
              <w:t>2018–20</w:t>
            </w:r>
          </w:p>
        </w:tc>
      </w:tr>
      <w:tr w:rsidR="009C582C" w14:paraId="7E512CC8" w14:textId="77777777" w:rsidTr="00D3773C">
        <w:trPr>
          <w:cantSplit/>
        </w:trPr>
        <w:tc>
          <w:tcPr>
            <w:tcW w:w="426" w:type="dxa"/>
            <w:tcBorders>
              <w:top w:val="nil"/>
              <w:bottom w:val="nil"/>
            </w:tcBorders>
          </w:tcPr>
          <w:p w14:paraId="2F2376F5" w14:textId="77777777" w:rsidR="009C582C" w:rsidRDefault="009C582C" w:rsidP="009C582C"/>
        </w:tc>
        <w:tc>
          <w:tcPr>
            <w:tcW w:w="7654" w:type="dxa"/>
            <w:tcBorders>
              <w:top w:val="nil"/>
              <w:bottom w:val="nil"/>
            </w:tcBorders>
          </w:tcPr>
          <w:p w14:paraId="7E9759DC" w14:textId="77777777" w:rsidR="009C582C" w:rsidRPr="008D6AA6" w:rsidRDefault="009C582C" w:rsidP="009C582C">
            <w:pPr>
              <w:tabs>
                <w:tab w:val="clear" w:pos="2092"/>
                <w:tab w:val="clear" w:pos="4076"/>
              </w:tabs>
            </w:pPr>
          </w:p>
        </w:tc>
        <w:tc>
          <w:tcPr>
            <w:tcW w:w="4961" w:type="dxa"/>
          </w:tcPr>
          <w:p w14:paraId="0F5F4A5B" w14:textId="12301E95" w:rsidR="009C582C" w:rsidRPr="008D6AA6" w:rsidRDefault="009C582C" w:rsidP="009C582C">
            <w:pPr>
              <w:tabs>
                <w:tab w:val="clear" w:pos="2092"/>
                <w:tab w:val="clear" w:pos="4076"/>
              </w:tabs>
            </w:pPr>
            <w:r w:rsidRPr="008D6AA6">
              <w:t xml:space="preserve">Report to Forum on administrative and legislative amendments to adopt improvements </w:t>
            </w:r>
          </w:p>
        </w:tc>
        <w:tc>
          <w:tcPr>
            <w:tcW w:w="2410" w:type="dxa"/>
          </w:tcPr>
          <w:p w14:paraId="55B43B3B" w14:textId="59EE55AA" w:rsidR="009C582C" w:rsidRDefault="00921F38" w:rsidP="009C582C">
            <w:r>
              <w:t>2019–20</w:t>
            </w:r>
          </w:p>
        </w:tc>
      </w:tr>
      <w:tr w:rsidR="009C582C" w14:paraId="63D8B72C" w14:textId="77777777" w:rsidTr="00D3773C">
        <w:trPr>
          <w:cantSplit/>
        </w:trPr>
        <w:tc>
          <w:tcPr>
            <w:tcW w:w="426" w:type="dxa"/>
            <w:tcBorders>
              <w:top w:val="nil"/>
            </w:tcBorders>
          </w:tcPr>
          <w:p w14:paraId="55C03363" w14:textId="77777777" w:rsidR="009C582C" w:rsidRDefault="009C582C" w:rsidP="009C582C"/>
        </w:tc>
        <w:tc>
          <w:tcPr>
            <w:tcW w:w="7654" w:type="dxa"/>
            <w:tcBorders>
              <w:top w:val="nil"/>
            </w:tcBorders>
          </w:tcPr>
          <w:p w14:paraId="4980403F" w14:textId="77777777" w:rsidR="009C582C" w:rsidRPr="008D6AA6" w:rsidRDefault="009C582C" w:rsidP="009C582C">
            <w:pPr>
              <w:tabs>
                <w:tab w:val="clear" w:pos="2092"/>
                <w:tab w:val="clear" w:pos="4076"/>
              </w:tabs>
            </w:pPr>
          </w:p>
        </w:tc>
        <w:tc>
          <w:tcPr>
            <w:tcW w:w="4961" w:type="dxa"/>
          </w:tcPr>
          <w:p w14:paraId="582D7E36" w14:textId="457E45EE" w:rsidR="009C582C" w:rsidRPr="008D6AA6" w:rsidRDefault="009C582C" w:rsidP="009C582C">
            <w:pPr>
              <w:tabs>
                <w:tab w:val="clear" w:pos="2092"/>
                <w:tab w:val="clear" w:pos="4076"/>
              </w:tabs>
            </w:pPr>
            <w:r w:rsidRPr="008D6AA6">
              <w:t xml:space="preserve">Implement agreed outcomes </w:t>
            </w:r>
          </w:p>
        </w:tc>
        <w:tc>
          <w:tcPr>
            <w:tcW w:w="2410" w:type="dxa"/>
          </w:tcPr>
          <w:p w14:paraId="644FC8D6" w14:textId="6F0E7DA8" w:rsidR="009C582C" w:rsidRDefault="00921F38" w:rsidP="009C582C">
            <w:r>
              <w:t>2020–22</w:t>
            </w:r>
          </w:p>
        </w:tc>
      </w:tr>
      <w:tr w:rsidR="009C582C" w14:paraId="437A4240" w14:textId="77777777" w:rsidTr="009C582C">
        <w:trPr>
          <w:cantSplit/>
        </w:trPr>
        <w:tc>
          <w:tcPr>
            <w:tcW w:w="426" w:type="dxa"/>
          </w:tcPr>
          <w:p w14:paraId="53422681" w14:textId="5639F316" w:rsidR="009C582C" w:rsidRDefault="009C582C" w:rsidP="009C582C">
            <w:r>
              <w:t>11</w:t>
            </w:r>
          </w:p>
        </w:tc>
        <w:tc>
          <w:tcPr>
            <w:tcW w:w="7654" w:type="dxa"/>
          </w:tcPr>
          <w:p w14:paraId="2BCC0B2A" w14:textId="1D3E46C3" w:rsidR="009C582C" w:rsidRPr="008D6AA6" w:rsidRDefault="009C582C" w:rsidP="009C582C">
            <w:pPr>
              <w:tabs>
                <w:tab w:val="clear" w:pos="2092"/>
                <w:tab w:val="clear" w:pos="4076"/>
              </w:tabs>
            </w:pPr>
            <w:r w:rsidRPr="008D6AA6">
              <w:t xml:space="preserve">The Review recommends that changes be made to enable the GMO Register to be more effectively utilised within the Scheme. </w:t>
            </w:r>
          </w:p>
        </w:tc>
        <w:tc>
          <w:tcPr>
            <w:tcW w:w="4961" w:type="dxa"/>
          </w:tcPr>
          <w:p w14:paraId="4DD51E1A" w14:textId="225CAEA1" w:rsidR="009C582C" w:rsidRPr="008D6AA6" w:rsidRDefault="009C582C" w:rsidP="009C582C">
            <w:pPr>
              <w:tabs>
                <w:tab w:val="clear" w:pos="2092"/>
                <w:tab w:val="clear" w:pos="4076"/>
              </w:tabs>
            </w:pPr>
            <w:r w:rsidRPr="008D6AA6">
              <w:t xml:space="preserve">Identify opportunities to optimise the GMO Register; consult as needed to inform. </w:t>
            </w:r>
          </w:p>
        </w:tc>
        <w:tc>
          <w:tcPr>
            <w:tcW w:w="2410" w:type="dxa"/>
          </w:tcPr>
          <w:p w14:paraId="03F0AF1B" w14:textId="3EB31104" w:rsidR="009C582C" w:rsidRDefault="00921F38" w:rsidP="009C582C">
            <w:r>
              <w:t>2019–20</w:t>
            </w:r>
          </w:p>
        </w:tc>
      </w:tr>
      <w:tr w:rsidR="009C582C" w14:paraId="48D9EC95" w14:textId="77777777" w:rsidTr="00D3773C">
        <w:trPr>
          <w:cantSplit/>
        </w:trPr>
        <w:tc>
          <w:tcPr>
            <w:tcW w:w="426" w:type="dxa"/>
            <w:tcBorders>
              <w:bottom w:val="nil"/>
            </w:tcBorders>
          </w:tcPr>
          <w:p w14:paraId="1B29D09C" w14:textId="77777777" w:rsidR="009C582C" w:rsidRDefault="009C582C" w:rsidP="009C582C"/>
        </w:tc>
        <w:tc>
          <w:tcPr>
            <w:tcW w:w="7654" w:type="dxa"/>
            <w:tcBorders>
              <w:bottom w:val="nil"/>
            </w:tcBorders>
          </w:tcPr>
          <w:p w14:paraId="2E34C052" w14:textId="77777777" w:rsidR="009C582C" w:rsidRPr="008D6AA6" w:rsidRDefault="009C582C" w:rsidP="009C582C">
            <w:pPr>
              <w:tabs>
                <w:tab w:val="clear" w:pos="2092"/>
                <w:tab w:val="clear" w:pos="4076"/>
              </w:tabs>
            </w:pPr>
          </w:p>
        </w:tc>
        <w:tc>
          <w:tcPr>
            <w:tcW w:w="4961" w:type="dxa"/>
          </w:tcPr>
          <w:p w14:paraId="38C2E6DA" w14:textId="6C37842D" w:rsidR="009C582C" w:rsidRPr="008D6AA6" w:rsidRDefault="009C582C" w:rsidP="009C582C">
            <w:pPr>
              <w:tabs>
                <w:tab w:val="clear" w:pos="2092"/>
                <w:tab w:val="clear" w:pos="4076"/>
              </w:tabs>
            </w:pPr>
            <w:r w:rsidRPr="008D6AA6">
              <w:t xml:space="preserve">Report to Forum on administrative and legislative amendments to adopt improvements </w:t>
            </w:r>
          </w:p>
        </w:tc>
        <w:tc>
          <w:tcPr>
            <w:tcW w:w="2410" w:type="dxa"/>
          </w:tcPr>
          <w:p w14:paraId="281F039A" w14:textId="7D1013E0" w:rsidR="009C582C" w:rsidRDefault="00921F38" w:rsidP="009C582C">
            <w:r>
              <w:t>2019–20</w:t>
            </w:r>
          </w:p>
        </w:tc>
      </w:tr>
      <w:tr w:rsidR="009C582C" w14:paraId="0B4E69ED" w14:textId="77777777" w:rsidTr="00D3773C">
        <w:trPr>
          <w:cantSplit/>
        </w:trPr>
        <w:tc>
          <w:tcPr>
            <w:tcW w:w="426" w:type="dxa"/>
            <w:tcBorders>
              <w:top w:val="nil"/>
              <w:bottom w:val="nil"/>
            </w:tcBorders>
          </w:tcPr>
          <w:p w14:paraId="4795CC19" w14:textId="77777777" w:rsidR="009C582C" w:rsidRDefault="009C582C" w:rsidP="009C582C"/>
        </w:tc>
        <w:tc>
          <w:tcPr>
            <w:tcW w:w="7654" w:type="dxa"/>
            <w:tcBorders>
              <w:top w:val="nil"/>
              <w:bottom w:val="nil"/>
            </w:tcBorders>
          </w:tcPr>
          <w:p w14:paraId="58C3C2DB" w14:textId="77777777" w:rsidR="009C582C" w:rsidRPr="008D6AA6" w:rsidRDefault="009C582C" w:rsidP="009C582C">
            <w:pPr>
              <w:tabs>
                <w:tab w:val="clear" w:pos="2092"/>
                <w:tab w:val="clear" w:pos="4076"/>
              </w:tabs>
            </w:pPr>
          </w:p>
        </w:tc>
        <w:tc>
          <w:tcPr>
            <w:tcW w:w="4961" w:type="dxa"/>
          </w:tcPr>
          <w:p w14:paraId="69173B59" w14:textId="3115BD6C" w:rsidR="009C582C" w:rsidRPr="008D6AA6" w:rsidRDefault="009C582C" w:rsidP="009C582C">
            <w:pPr>
              <w:tabs>
                <w:tab w:val="clear" w:pos="2092"/>
                <w:tab w:val="clear" w:pos="4076"/>
              </w:tabs>
            </w:pPr>
            <w:r w:rsidRPr="008D6AA6">
              <w:t xml:space="preserve">Implement agreed outcomes </w:t>
            </w:r>
          </w:p>
        </w:tc>
        <w:tc>
          <w:tcPr>
            <w:tcW w:w="2410" w:type="dxa"/>
          </w:tcPr>
          <w:p w14:paraId="3B4CC5D6" w14:textId="26BBA8B2" w:rsidR="009C582C" w:rsidRDefault="00921F38" w:rsidP="009C582C">
            <w:r>
              <w:t>2020–22</w:t>
            </w:r>
          </w:p>
        </w:tc>
      </w:tr>
      <w:tr w:rsidR="009C582C" w14:paraId="63C6BF0D" w14:textId="77777777" w:rsidTr="00D3773C">
        <w:trPr>
          <w:cantSplit/>
        </w:trPr>
        <w:tc>
          <w:tcPr>
            <w:tcW w:w="426" w:type="dxa"/>
            <w:tcBorders>
              <w:top w:val="nil"/>
              <w:bottom w:val="nil"/>
            </w:tcBorders>
          </w:tcPr>
          <w:p w14:paraId="0F51A33F" w14:textId="77777777" w:rsidR="009C582C" w:rsidRDefault="009C582C" w:rsidP="009C582C"/>
        </w:tc>
        <w:tc>
          <w:tcPr>
            <w:tcW w:w="7654" w:type="dxa"/>
            <w:tcBorders>
              <w:top w:val="nil"/>
              <w:bottom w:val="nil"/>
            </w:tcBorders>
          </w:tcPr>
          <w:p w14:paraId="49F05C56" w14:textId="77777777" w:rsidR="009C582C" w:rsidRPr="008D6AA6" w:rsidRDefault="009C582C" w:rsidP="009C582C">
            <w:pPr>
              <w:tabs>
                <w:tab w:val="clear" w:pos="2092"/>
                <w:tab w:val="clear" w:pos="4076"/>
              </w:tabs>
            </w:pPr>
          </w:p>
        </w:tc>
        <w:tc>
          <w:tcPr>
            <w:tcW w:w="4961" w:type="dxa"/>
          </w:tcPr>
          <w:p w14:paraId="25132EC7" w14:textId="0915AA9C" w:rsidR="009C582C" w:rsidRPr="008D6AA6" w:rsidRDefault="009C582C" w:rsidP="009C582C">
            <w:pPr>
              <w:tabs>
                <w:tab w:val="clear" w:pos="2092"/>
                <w:tab w:val="clear" w:pos="4076"/>
              </w:tabs>
            </w:pPr>
            <w:r w:rsidRPr="008D6AA6">
              <w:t xml:space="preserve">Regular updates to Forum on ‘DIY biology’ activity and risks (ongoing) </w:t>
            </w:r>
          </w:p>
        </w:tc>
        <w:tc>
          <w:tcPr>
            <w:tcW w:w="2410" w:type="dxa"/>
          </w:tcPr>
          <w:p w14:paraId="6BF65278" w14:textId="6A17192F" w:rsidR="009C582C" w:rsidRDefault="00921F38" w:rsidP="009C582C">
            <w:r>
              <w:t>2019–23</w:t>
            </w:r>
          </w:p>
        </w:tc>
      </w:tr>
      <w:tr w:rsidR="009C582C" w14:paraId="3E070B3D" w14:textId="77777777" w:rsidTr="00D3773C">
        <w:trPr>
          <w:cantSplit/>
        </w:trPr>
        <w:tc>
          <w:tcPr>
            <w:tcW w:w="426" w:type="dxa"/>
            <w:tcBorders>
              <w:top w:val="nil"/>
              <w:bottom w:val="nil"/>
            </w:tcBorders>
          </w:tcPr>
          <w:p w14:paraId="04F834CF" w14:textId="77777777" w:rsidR="009C582C" w:rsidRDefault="009C582C" w:rsidP="009C582C"/>
        </w:tc>
        <w:tc>
          <w:tcPr>
            <w:tcW w:w="7654" w:type="dxa"/>
            <w:tcBorders>
              <w:top w:val="nil"/>
              <w:bottom w:val="nil"/>
            </w:tcBorders>
          </w:tcPr>
          <w:p w14:paraId="410E8DFD" w14:textId="77777777" w:rsidR="009C582C" w:rsidRPr="008D6AA6" w:rsidRDefault="009C582C" w:rsidP="009C582C">
            <w:pPr>
              <w:tabs>
                <w:tab w:val="clear" w:pos="2092"/>
                <w:tab w:val="clear" w:pos="4076"/>
              </w:tabs>
            </w:pPr>
          </w:p>
        </w:tc>
        <w:tc>
          <w:tcPr>
            <w:tcW w:w="4961" w:type="dxa"/>
          </w:tcPr>
          <w:p w14:paraId="666A03DE" w14:textId="157DFEBA" w:rsidR="009C582C" w:rsidRPr="008D6AA6" w:rsidRDefault="009C582C" w:rsidP="009C582C">
            <w:pPr>
              <w:tabs>
                <w:tab w:val="clear" w:pos="2092"/>
                <w:tab w:val="clear" w:pos="4076"/>
              </w:tabs>
            </w:pPr>
            <w:r w:rsidRPr="008D6AA6">
              <w:t xml:space="preserve">Forum considers options </w:t>
            </w:r>
          </w:p>
        </w:tc>
        <w:tc>
          <w:tcPr>
            <w:tcW w:w="2410" w:type="dxa"/>
          </w:tcPr>
          <w:p w14:paraId="0C233724" w14:textId="2872927A" w:rsidR="009C582C" w:rsidRDefault="00921F38" w:rsidP="009C582C">
            <w:r>
              <w:t>2019–20</w:t>
            </w:r>
          </w:p>
        </w:tc>
      </w:tr>
      <w:tr w:rsidR="009C582C" w14:paraId="1B0B3BE5" w14:textId="77777777" w:rsidTr="00D3773C">
        <w:trPr>
          <w:cantSplit/>
        </w:trPr>
        <w:tc>
          <w:tcPr>
            <w:tcW w:w="426" w:type="dxa"/>
            <w:tcBorders>
              <w:top w:val="nil"/>
              <w:bottom w:val="nil"/>
            </w:tcBorders>
          </w:tcPr>
          <w:p w14:paraId="707254D9" w14:textId="77777777" w:rsidR="009C582C" w:rsidRDefault="009C582C" w:rsidP="009C582C"/>
        </w:tc>
        <w:tc>
          <w:tcPr>
            <w:tcW w:w="7654" w:type="dxa"/>
            <w:tcBorders>
              <w:top w:val="nil"/>
              <w:bottom w:val="nil"/>
            </w:tcBorders>
          </w:tcPr>
          <w:p w14:paraId="6D2DFFF7" w14:textId="77777777" w:rsidR="009C582C" w:rsidRPr="008D6AA6" w:rsidRDefault="009C582C" w:rsidP="009C582C">
            <w:pPr>
              <w:tabs>
                <w:tab w:val="clear" w:pos="2092"/>
                <w:tab w:val="clear" w:pos="4076"/>
              </w:tabs>
            </w:pPr>
          </w:p>
        </w:tc>
        <w:tc>
          <w:tcPr>
            <w:tcW w:w="4961" w:type="dxa"/>
          </w:tcPr>
          <w:p w14:paraId="18C19FBE" w14:textId="15A7BE55" w:rsidR="009C582C" w:rsidRPr="008D6AA6" w:rsidRDefault="009C582C" w:rsidP="009C582C">
            <w:pPr>
              <w:tabs>
                <w:tab w:val="clear" w:pos="2092"/>
                <w:tab w:val="clear" w:pos="4076"/>
              </w:tabs>
            </w:pPr>
            <w:r w:rsidRPr="008D6AA6">
              <w:t xml:space="preserve">Implement outcome, including any legislative amendment (if required) </w:t>
            </w:r>
          </w:p>
        </w:tc>
        <w:tc>
          <w:tcPr>
            <w:tcW w:w="2410" w:type="dxa"/>
          </w:tcPr>
          <w:p w14:paraId="5719FCFC" w14:textId="70698657" w:rsidR="009C582C" w:rsidRDefault="00921F38" w:rsidP="009C582C">
            <w:r>
              <w:t>2020–22</w:t>
            </w:r>
          </w:p>
        </w:tc>
      </w:tr>
      <w:tr w:rsidR="009C582C" w14:paraId="78B79B97" w14:textId="77777777" w:rsidTr="00D3773C">
        <w:trPr>
          <w:cantSplit/>
        </w:trPr>
        <w:tc>
          <w:tcPr>
            <w:tcW w:w="426" w:type="dxa"/>
            <w:tcBorders>
              <w:top w:val="nil"/>
            </w:tcBorders>
          </w:tcPr>
          <w:p w14:paraId="380A878C" w14:textId="77777777" w:rsidR="009C582C" w:rsidRDefault="009C582C" w:rsidP="009C582C"/>
        </w:tc>
        <w:tc>
          <w:tcPr>
            <w:tcW w:w="7654" w:type="dxa"/>
            <w:tcBorders>
              <w:top w:val="nil"/>
            </w:tcBorders>
          </w:tcPr>
          <w:p w14:paraId="06FEE911" w14:textId="77777777" w:rsidR="009C582C" w:rsidRPr="008D6AA6" w:rsidRDefault="009C582C" w:rsidP="009C582C">
            <w:pPr>
              <w:tabs>
                <w:tab w:val="clear" w:pos="2092"/>
                <w:tab w:val="clear" w:pos="4076"/>
              </w:tabs>
            </w:pPr>
          </w:p>
        </w:tc>
        <w:tc>
          <w:tcPr>
            <w:tcW w:w="4961" w:type="dxa"/>
          </w:tcPr>
          <w:p w14:paraId="7C3FF788" w14:textId="10079D47" w:rsidR="009C582C" w:rsidRPr="008D6AA6" w:rsidRDefault="009C582C" w:rsidP="009C582C">
            <w:pPr>
              <w:tabs>
                <w:tab w:val="clear" w:pos="2092"/>
                <w:tab w:val="clear" w:pos="4076"/>
              </w:tabs>
            </w:pPr>
            <w:r w:rsidRPr="008D6AA6">
              <w:t xml:space="preserve">Standing Committee </w:t>
            </w:r>
            <w:r w:rsidRPr="008D6AA6">
              <w:rPr>
                <w:i/>
                <w:iCs/>
              </w:rPr>
              <w:t xml:space="preserve">Progress Report </w:t>
            </w:r>
            <w:r w:rsidRPr="008D6AA6">
              <w:t>to Forum at end of first year of implementation, and ongoing</w:t>
            </w:r>
          </w:p>
        </w:tc>
        <w:tc>
          <w:tcPr>
            <w:tcW w:w="2410" w:type="dxa"/>
          </w:tcPr>
          <w:p w14:paraId="3D080BC0" w14:textId="01234CCD" w:rsidR="009C582C" w:rsidRDefault="00921F38" w:rsidP="009C582C">
            <w:r>
              <w:t>2019–23</w:t>
            </w:r>
          </w:p>
        </w:tc>
      </w:tr>
      <w:tr w:rsidR="009C582C" w14:paraId="5472CD90" w14:textId="77777777" w:rsidTr="009C582C">
        <w:trPr>
          <w:cantSplit/>
        </w:trPr>
        <w:tc>
          <w:tcPr>
            <w:tcW w:w="426" w:type="dxa"/>
          </w:tcPr>
          <w:p w14:paraId="1AE87633" w14:textId="33A6E5F2" w:rsidR="009C582C" w:rsidRDefault="009C582C" w:rsidP="009C582C">
            <w:r>
              <w:lastRenderedPageBreak/>
              <w:t>12</w:t>
            </w:r>
          </w:p>
        </w:tc>
        <w:tc>
          <w:tcPr>
            <w:tcW w:w="7654" w:type="dxa"/>
          </w:tcPr>
          <w:p w14:paraId="758FDAFD" w14:textId="77777777" w:rsidR="009C582C" w:rsidRPr="008D6AA6" w:rsidRDefault="009C582C" w:rsidP="009C582C">
            <w:pPr>
              <w:tabs>
                <w:tab w:val="clear" w:pos="2092"/>
                <w:tab w:val="clear" w:pos="4076"/>
              </w:tabs>
            </w:pPr>
            <w:r w:rsidRPr="008D6AA6">
              <w:t xml:space="preserve">The Review recommends that, to ensure the Scheme’s current monitoring and enforcement activities remain adequate: </w:t>
            </w:r>
          </w:p>
          <w:p w14:paraId="2AD11F56" w14:textId="7777777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a) </w:t>
            </w:r>
            <w:r w:rsidRPr="008D6AA6">
              <w:t xml:space="preserve">regular reviews of these activities are </w:t>
            </w:r>
            <w:proofErr w:type="gramStart"/>
            <w:r w:rsidRPr="008D6AA6">
              <w:t>undertaken;</w:t>
            </w:r>
            <w:proofErr w:type="gramEnd"/>
            <w:r w:rsidRPr="008D6AA6">
              <w:t xml:space="preserve"> </w:t>
            </w:r>
          </w:p>
          <w:p w14:paraId="33ABF0CC" w14:textId="7777777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b) </w:t>
            </w:r>
            <w:r w:rsidRPr="008D6AA6">
              <w:t xml:space="preserve">regulatory requirements for working with gene technologies are widely communicated and known; and </w:t>
            </w:r>
          </w:p>
          <w:p w14:paraId="630B3481" w14:textId="664191AE" w:rsidR="009C582C" w:rsidRPr="008D6AA6" w:rsidRDefault="009C582C" w:rsidP="009C582C">
            <w:pPr>
              <w:tabs>
                <w:tab w:val="clear" w:pos="2092"/>
                <w:tab w:val="clear" w:pos="4076"/>
              </w:tabs>
            </w:pPr>
            <w:r w:rsidRPr="008D6AA6">
              <w:rPr>
                <w:rFonts w:ascii="Helvetica LT Std" w:hAnsi="Helvetica LT Std" w:cs="Helvetica LT Std"/>
                <w:b/>
                <w:bCs/>
                <w:color w:val="00509C"/>
              </w:rPr>
              <w:t xml:space="preserve">c) </w:t>
            </w:r>
            <w:r w:rsidRPr="008D6AA6">
              <w:t>the scope and associated risks of ‘DIY biology’ activity continue to be monitored.</w:t>
            </w:r>
          </w:p>
        </w:tc>
        <w:tc>
          <w:tcPr>
            <w:tcW w:w="4961" w:type="dxa"/>
          </w:tcPr>
          <w:p w14:paraId="3FEA189F" w14:textId="08BC9B00" w:rsidR="009C582C" w:rsidRPr="008D6AA6" w:rsidRDefault="009C582C" w:rsidP="009C582C">
            <w:pPr>
              <w:tabs>
                <w:tab w:val="clear" w:pos="2092"/>
                <w:tab w:val="clear" w:pos="4076"/>
              </w:tabs>
            </w:pPr>
            <w:r w:rsidRPr="008D6AA6">
              <w:t>Review the adequacy of the Scheme’s monitoring and enforcement activities</w:t>
            </w:r>
          </w:p>
        </w:tc>
        <w:tc>
          <w:tcPr>
            <w:tcW w:w="2410" w:type="dxa"/>
          </w:tcPr>
          <w:p w14:paraId="12BF6AD9" w14:textId="6924BD61" w:rsidR="009C582C" w:rsidRDefault="00921F38" w:rsidP="009C582C">
            <w:r>
              <w:t>2018–19</w:t>
            </w:r>
          </w:p>
        </w:tc>
      </w:tr>
      <w:tr w:rsidR="009C582C" w14:paraId="5C125B4D" w14:textId="77777777" w:rsidTr="009C582C">
        <w:trPr>
          <w:cantSplit/>
        </w:trPr>
        <w:tc>
          <w:tcPr>
            <w:tcW w:w="426" w:type="dxa"/>
          </w:tcPr>
          <w:p w14:paraId="2BBF9F19" w14:textId="281849A0" w:rsidR="009C582C" w:rsidRDefault="009C582C" w:rsidP="009C582C">
            <w:pPr>
              <w:tabs>
                <w:tab w:val="clear" w:pos="2092"/>
                <w:tab w:val="clear" w:pos="4076"/>
              </w:tabs>
            </w:pPr>
            <w:r w:rsidRPr="008D6AA6">
              <w:t xml:space="preserve">13 </w:t>
            </w:r>
          </w:p>
        </w:tc>
        <w:tc>
          <w:tcPr>
            <w:tcW w:w="7654" w:type="dxa"/>
          </w:tcPr>
          <w:p w14:paraId="54B19964" w14:textId="77777777" w:rsidR="009C582C" w:rsidRPr="008D6AA6" w:rsidRDefault="009C582C" w:rsidP="009C582C">
            <w:pPr>
              <w:tabs>
                <w:tab w:val="clear" w:pos="2092"/>
                <w:tab w:val="clear" w:pos="4076"/>
              </w:tabs>
            </w:pPr>
            <w:r w:rsidRPr="008D6AA6">
              <w:t xml:space="preserve">The Review recommends that to better respond to changes in scientific understanding and understandings of risk, consideration should be given to: </w:t>
            </w:r>
          </w:p>
          <w:p w14:paraId="3C566CEE" w14:textId="7777777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a) </w:t>
            </w:r>
            <w:r w:rsidRPr="008D6AA6">
              <w:t xml:space="preserve">enabling the Regulator to make decisions on the applicability of regulation to any technological developments, until such time as a policy approach has been agreed; and </w:t>
            </w:r>
          </w:p>
          <w:p w14:paraId="714751A7" w14:textId="6E5A9900"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b) </w:t>
            </w:r>
            <w:r w:rsidRPr="008D6AA6">
              <w:t xml:space="preserve">introducing elements of principles-based regulation to some parts of the Scheme, focusing on areas of the Scheme with a history of safe use. </w:t>
            </w:r>
          </w:p>
        </w:tc>
        <w:tc>
          <w:tcPr>
            <w:tcW w:w="4961" w:type="dxa"/>
          </w:tcPr>
          <w:p w14:paraId="5814701F" w14:textId="1B040F8B" w:rsidR="009C582C" w:rsidRPr="008D6AA6" w:rsidRDefault="009C582C" w:rsidP="009C582C">
            <w:pPr>
              <w:tabs>
                <w:tab w:val="clear" w:pos="2092"/>
                <w:tab w:val="clear" w:pos="4076"/>
              </w:tabs>
            </w:pPr>
            <w:r w:rsidRPr="008D6AA6">
              <w:t>Identify appropriate legal instruments and principle-based regulation options; consult as needed to inform</w:t>
            </w:r>
          </w:p>
        </w:tc>
        <w:tc>
          <w:tcPr>
            <w:tcW w:w="2410" w:type="dxa"/>
          </w:tcPr>
          <w:p w14:paraId="231E4A3A" w14:textId="4C86C7C0" w:rsidR="009C582C" w:rsidRDefault="00921F38" w:rsidP="009C582C">
            <w:r>
              <w:t>2018–20</w:t>
            </w:r>
          </w:p>
        </w:tc>
      </w:tr>
      <w:tr w:rsidR="009C582C" w14:paraId="66C626B9" w14:textId="77777777" w:rsidTr="009C582C">
        <w:trPr>
          <w:cantSplit/>
        </w:trPr>
        <w:tc>
          <w:tcPr>
            <w:tcW w:w="426" w:type="dxa"/>
          </w:tcPr>
          <w:p w14:paraId="5BE479B2" w14:textId="51356E9C"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14 </w:t>
            </w:r>
          </w:p>
        </w:tc>
        <w:tc>
          <w:tcPr>
            <w:tcW w:w="7654" w:type="dxa"/>
          </w:tcPr>
          <w:p w14:paraId="70346AB1" w14:textId="77777777"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reaffirming and clarifying governance arrangements to increase the agility of the Scheme, including more effective use of mechanisms for: </w:t>
            </w:r>
          </w:p>
          <w:p w14:paraId="25EDF95F" w14:textId="77777777" w:rsidR="009C582C" w:rsidRDefault="009C582C" w:rsidP="009C582C">
            <w:pPr>
              <w:pStyle w:val="Pa6"/>
              <w:spacing w:after="40"/>
              <w:ind w:left="220" w:hanging="220"/>
              <w:rPr>
                <w:rFonts w:ascii="Helvetica LT Std Light" w:hAnsi="Helvetica LT Std Light" w:cs="Helvetica LT Std Light"/>
                <w:color w:val="000000"/>
                <w:sz w:val="18"/>
                <w:szCs w:val="18"/>
              </w:rPr>
            </w:pPr>
            <w:r>
              <w:rPr>
                <w:rFonts w:cs="Helvetica LT Std"/>
                <w:b/>
                <w:bCs/>
                <w:color w:val="00509C"/>
                <w:sz w:val="18"/>
                <w:szCs w:val="18"/>
              </w:rPr>
              <w:t xml:space="preserve">a) </w:t>
            </w:r>
            <w:r>
              <w:rPr>
                <w:rFonts w:ascii="Helvetica LT Std Light" w:hAnsi="Helvetica LT Std Light" w:cs="Helvetica LT Std Light"/>
                <w:color w:val="000000"/>
                <w:sz w:val="18"/>
                <w:szCs w:val="18"/>
              </w:rPr>
              <w:t xml:space="preserve">the Gene Technology Standing Committee to consider and recommend changes to the legislation for Forum endorsement; and </w:t>
            </w:r>
          </w:p>
          <w:p w14:paraId="671D96B3" w14:textId="33B2C91E" w:rsidR="009C582C" w:rsidRPr="000779DE" w:rsidRDefault="009C582C" w:rsidP="009C582C">
            <w:pPr>
              <w:pStyle w:val="Pa6"/>
              <w:spacing w:after="40"/>
              <w:ind w:left="220" w:hanging="220"/>
              <w:rPr>
                <w:rFonts w:ascii="Helvetica LT Std Light" w:hAnsi="Helvetica LT Std Light" w:cs="Helvetica LT Std Light"/>
                <w:color w:val="000000"/>
                <w:sz w:val="18"/>
                <w:szCs w:val="18"/>
              </w:rPr>
            </w:pPr>
            <w:r>
              <w:rPr>
                <w:rFonts w:cs="Helvetica LT Std"/>
                <w:b/>
                <w:bCs/>
                <w:color w:val="00509C"/>
                <w:sz w:val="18"/>
                <w:szCs w:val="18"/>
              </w:rPr>
              <w:t xml:space="preserve">b) </w:t>
            </w:r>
            <w:r>
              <w:rPr>
                <w:rFonts w:ascii="Helvetica LT Std Light" w:hAnsi="Helvetica LT Std Light" w:cs="Helvetica LT Std Light"/>
                <w:color w:val="000000"/>
                <w:sz w:val="18"/>
                <w:szCs w:val="18"/>
              </w:rPr>
              <w:t xml:space="preserve">delegating certain activities and work programs of the Legislative and Governance Forum on Gene Technology to the Gene Technology Standing Committee. </w:t>
            </w:r>
          </w:p>
        </w:tc>
        <w:tc>
          <w:tcPr>
            <w:tcW w:w="4961" w:type="dxa"/>
          </w:tcPr>
          <w:p w14:paraId="752B4696" w14:textId="37969CD9" w:rsidR="009C582C" w:rsidRPr="000779DE" w:rsidRDefault="009C582C" w:rsidP="009C582C">
            <w:pPr>
              <w:pStyle w:val="Pa5"/>
              <w:spacing w:after="40"/>
              <w:rPr>
                <w:rFonts w:ascii="Helvetica LT Std Light" w:hAnsi="Helvetica LT Std Light" w:cs="Helvetica LT Std Light"/>
                <w:color w:val="000000"/>
                <w:sz w:val="18"/>
                <w:szCs w:val="18"/>
              </w:rPr>
            </w:pPr>
            <w:proofErr w:type="gramStart"/>
            <w:r>
              <w:rPr>
                <w:rFonts w:ascii="Helvetica LT Std Light" w:hAnsi="Helvetica LT Std Light" w:cs="Helvetica LT Std Light"/>
                <w:color w:val="000000"/>
                <w:sz w:val="18"/>
                <w:szCs w:val="18"/>
              </w:rPr>
              <w:t>Forum</w:t>
            </w:r>
            <w:proofErr w:type="gramEnd"/>
            <w:r>
              <w:rPr>
                <w:rFonts w:ascii="Helvetica LT Std Light" w:hAnsi="Helvetica LT Std Light" w:cs="Helvetica LT Std Light"/>
                <w:color w:val="000000"/>
                <w:sz w:val="18"/>
                <w:szCs w:val="18"/>
              </w:rPr>
              <w:t xml:space="preserve"> agree on activities to be progressed by Standing Committee </w:t>
            </w:r>
          </w:p>
        </w:tc>
        <w:tc>
          <w:tcPr>
            <w:tcW w:w="2410" w:type="dxa"/>
          </w:tcPr>
          <w:p w14:paraId="183FE879" w14:textId="28F389ED" w:rsidR="009C582C" w:rsidRDefault="00921F38" w:rsidP="009C582C">
            <w:r>
              <w:t>2018–19</w:t>
            </w:r>
          </w:p>
        </w:tc>
      </w:tr>
      <w:tr w:rsidR="009C582C" w14:paraId="6AD0A6D3" w14:textId="77777777" w:rsidTr="00D3773C">
        <w:trPr>
          <w:cantSplit/>
        </w:trPr>
        <w:tc>
          <w:tcPr>
            <w:tcW w:w="426" w:type="dxa"/>
            <w:tcBorders>
              <w:bottom w:val="nil"/>
            </w:tcBorders>
          </w:tcPr>
          <w:p w14:paraId="425D212A" w14:textId="4C1EEFB8"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17 </w:t>
            </w:r>
          </w:p>
        </w:tc>
        <w:tc>
          <w:tcPr>
            <w:tcW w:w="7654" w:type="dxa"/>
            <w:tcBorders>
              <w:bottom w:val="nil"/>
            </w:tcBorders>
          </w:tcPr>
          <w:p w14:paraId="09CE2B3E" w14:textId="6B35C038"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that states and territories continue to ensure that their gene technology Acts remain corresponding and that appropriate mechanisms are in place to update corresponding state and territory legislation following amendment of the </w:t>
            </w:r>
            <w:r>
              <w:rPr>
                <w:rFonts w:ascii="Helvetica LT Std Light" w:hAnsi="Helvetica LT Std Light" w:cs="Helvetica LT Std Light"/>
                <w:i/>
                <w:iCs/>
                <w:color w:val="000000"/>
                <w:sz w:val="18"/>
                <w:szCs w:val="18"/>
              </w:rPr>
              <w:t xml:space="preserve">Gene Technology Act 2000 </w:t>
            </w:r>
            <w:r>
              <w:rPr>
                <w:rFonts w:ascii="Helvetica LT Std Light" w:hAnsi="Helvetica LT Std Light" w:cs="Helvetica LT Std Light"/>
                <w:color w:val="000000"/>
                <w:sz w:val="18"/>
                <w:szCs w:val="18"/>
              </w:rPr>
              <w:t>(</w:t>
            </w:r>
            <w:proofErr w:type="spellStart"/>
            <w:r>
              <w:rPr>
                <w:rFonts w:ascii="Helvetica LT Std Light" w:hAnsi="Helvetica LT Std Light" w:cs="Helvetica LT Std Light"/>
                <w:color w:val="000000"/>
                <w:sz w:val="18"/>
                <w:szCs w:val="18"/>
              </w:rPr>
              <w:t>Cth</w:t>
            </w:r>
            <w:proofErr w:type="spellEnd"/>
            <w:r>
              <w:rPr>
                <w:rFonts w:ascii="Helvetica LT Std Light" w:hAnsi="Helvetica LT Std Light" w:cs="Helvetica LT Std Light"/>
                <w:color w:val="000000"/>
                <w:sz w:val="18"/>
                <w:szCs w:val="18"/>
              </w:rPr>
              <w:t xml:space="preserve">). </w:t>
            </w:r>
          </w:p>
        </w:tc>
        <w:tc>
          <w:tcPr>
            <w:tcW w:w="4961" w:type="dxa"/>
          </w:tcPr>
          <w:p w14:paraId="455D9AFA" w14:textId="15DCD4E1"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Forum considers status of corresponding legislation and impacts for national consistency of the GT Scheme. </w:t>
            </w:r>
          </w:p>
        </w:tc>
        <w:tc>
          <w:tcPr>
            <w:tcW w:w="2410" w:type="dxa"/>
          </w:tcPr>
          <w:p w14:paraId="330F3E2A" w14:textId="1F6D889C" w:rsidR="009C582C" w:rsidRDefault="00921F38" w:rsidP="009C582C">
            <w:r>
              <w:t>2018–20</w:t>
            </w:r>
          </w:p>
        </w:tc>
      </w:tr>
      <w:tr w:rsidR="009C582C" w14:paraId="488ADDB5" w14:textId="77777777" w:rsidTr="00D3773C">
        <w:trPr>
          <w:cantSplit/>
        </w:trPr>
        <w:tc>
          <w:tcPr>
            <w:tcW w:w="426" w:type="dxa"/>
            <w:tcBorders>
              <w:top w:val="nil"/>
              <w:bottom w:val="single" w:sz="4" w:space="0" w:color="92D050"/>
            </w:tcBorders>
          </w:tcPr>
          <w:p w14:paraId="06B621B0" w14:textId="77777777" w:rsidR="009C582C" w:rsidRDefault="009C582C" w:rsidP="009C582C"/>
        </w:tc>
        <w:tc>
          <w:tcPr>
            <w:tcW w:w="7654" w:type="dxa"/>
            <w:tcBorders>
              <w:top w:val="nil"/>
              <w:bottom w:val="single" w:sz="4" w:space="0" w:color="92D050"/>
            </w:tcBorders>
          </w:tcPr>
          <w:p w14:paraId="14371C41" w14:textId="77777777" w:rsidR="009C582C" w:rsidRPr="008D6AA6" w:rsidRDefault="009C582C" w:rsidP="009C582C">
            <w:pPr>
              <w:tabs>
                <w:tab w:val="clear" w:pos="2092"/>
                <w:tab w:val="clear" w:pos="4076"/>
              </w:tabs>
            </w:pPr>
          </w:p>
        </w:tc>
        <w:tc>
          <w:tcPr>
            <w:tcW w:w="4961" w:type="dxa"/>
          </w:tcPr>
          <w:p w14:paraId="2143AFC0" w14:textId="7135CDCF"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Ongoing Forum consideration of corresponding legislation status as changes are made to the Commonwealth legislation. </w:t>
            </w:r>
          </w:p>
        </w:tc>
        <w:tc>
          <w:tcPr>
            <w:tcW w:w="2410" w:type="dxa"/>
          </w:tcPr>
          <w:p w14:paraId="3CBA0CD3" w14:textId="276AA0FB" w:rsidR="009C582C" w:rsidRDefault="00921F38" w:rsidP="009C582C">
            <w:r>
              <w:t>2020–23</w:t>
            </w:r>
          </w:p>
        </w:tc>
      </w:tr>
      <w:tr w:rsidR="009C582C" w14:paraId="0F0EE0DA" w14:textId="77777777" w:rsidTr="00D3773C">
        <w:trPr>
          <w:cantSplit/>
        </w:trPr>
        <w:tc>
          <w:tcPr>
            <w:tcW w:w="426" w:type="dxa"/>
            <w:tcBorders>
              <w:top w:val="single" w:sz="4" w:space="0" w:color="92D050"/>
              <w:bottom w:val="nil"/>
            </w:tcBorders>
          </w:tcPr>
          <w:p w14:paraId="2EB55B26" w14:textId="103B74EE" w:rsidR="009C582C" w:rsidRDefault="009C582C" w:rsidP="009C582C">
            <w:r>
              <w:t>18</w:t>
            </w:r>
          </w:p>
        </w:tc>
        <w:tc>
          <w:tcPr>
            <w:tcW w:w="7654" w:type="dxa"/>
            <w:tcBorders>
              <w:top w:val="single" w:sz="4" w:space="0" w:color="92D050"/>
              <w:bottom w:val="nil"/>
            </w:tcBorders>
          </w:tcPr>
          <w:p w14:paraId="7E767B8C" w14:textId="6FF1ED4D"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that states and territories </w:t>
            </w:r>
            <w:proofErr w:type="gramStart"/>
            <w:r>
              <w:rPr>
                <w:rFonts w:ascii="Helvetica LT Std Light" w:hAnsi="Helvetica LT Std Light" w:cs="Helvetica LT Std Light"/>
                <w:color w:val="000000"/>
                <w:sz w:val="18"/>
                <w:szCs w:val="18"/>
              </w:rPr>
              <w:t>give ongoing consideration to</w:t>
            </w:r>
            <w:proofErr w:type="gramEnd"/>
            <w:r>
              <w:rPr>
                <w:rFonts w:ascii="Helvetica LT Std Light" w:hAnsi="Helvetica LT Std Light" w:cs="Helvetica LT Std Light"/>
                <w:color w:val="000000"/>
                <w:sz w:val="18"/>
                <w:szCs w:val="18"/>
              </w:rPr>
              <w:t xml:space="preserve"> the economic effects, value and scope of moratoria. </w:t>
            </w:r>
          </w:p>
        </w:tc>
        <w:tc>
          <w:tcPr>
            <w:tcW w:w="4961" w:type="dxa"/>
          </w:tcPr>
          <w:p w14:paraId="226EAA4A" w14:textId="59FAEDF4" w:rsidR="009C582C" w:rsidRPr="000779DE"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Forum considers status of moratoria legislation and identifies any impact on national consistency of the GT Scheme </w:t>
            </w:r>
          </w:p>
        </w:tc>
        <w:tc>
          <w:tcPr>
            <w:tcW w:w="2410" w:type="dxa"/>
          </w:tcPr>
          <w:p w14:paraId="0A879940" w14:textId="4F00485B" w:rsidR="009C582C" w:rsidRDefault="00921F38" w:rsidP="009C582C">
            <w:r>
              <w:t>2018–20</w:t>
            </w:r>
          </w:p>
        </w:tc>
      </w:tr>
      <w:tr w:rsidR="009C582C" w14:paraId="0A55E956" w14:textId="77777777" w:rsidTr="00D3773C">
        <w:trPr>
          <w:cantSplit/>
        </w:trPr>
        <w:tc>
          <w:tcPr>
            <w:tcW w:w="426" w:type="dxa"/>
            <w:tcBorders>
              <w:top w:val="nil"/>
            </w:tcBorders>
          </w:tcPr>
          <w:p w14:paraId="16BBD338" w14:textId="77777777" w:rsidR="009C582C" w:rsidRDefault="009C582C" w:rsidP="009C582C"/>
        </w:tc>
        <w:tc>
          <w:tcPr>
            <w:tcW w:w="7654" w:type="dxa"/>
            <w:tcBorders>
              <w:top w:val="nil"/>
            </w:tcBorders>
          </w:tcPr>
          <w:p w14:paraId="3EA2BA40"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03CFF7DB" w14:textId="2286E421"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Forum considers options, including policies and other arrangements, for addressing any ongoing national impacts from moratoria. </w:t>
            </w:r>
          </w:p>
        </w:tc>
        <w:tc>
          <w:tcPr>
            <w:tcW w:w="2410" w:type="dxa"/>
          </w:tcPr>
          <w:p w14:paraId="5C642E6D" w14:textId="77777777" w:rsidR="009C582C" w:rsidRDefault="009C582C" w:rsidP="009C582C"/>
        </w:tc>
      </w:tr>
      <w:tr w:rsidR="009C582C" w14:paraId="0476D10A" w14:textId="77777777" w:rsidTr="00D3773C">
        <w:trPr>
          <w:cantSplit/>
        </w:trPr>
        <w:tc>
          <w:tcPr>
            <w:tcW w:w="426" w:type="dxa"/>
            <w:tcBorders>
              <w:bottom w:val="nil"/>
            </w:tcBorders>
          </w:tcPr>
          <w:p w14:paraId="1BF8AF99" w14:textId="34D2934A" w:rsidR="009C582C" w:rsidRDefault="009C582C" w:rsidP="009C582C">
            <w:r>
              <w:t>21</w:t>
            </w:r>
          </w:p>
        </w:tc>
        <w:tc>
          <w:tcPr>
            <w:tcW w:w="7654" w:type="dxa"/>
            <w:tcBorders>
              <w:bottom w:val="nil"/>
            </w:tcBorders>
          </w:tcPr>
          <w:p w14:paraId="7935FE44" w14:textId="77777777"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clarifying the intersection between the Gene Technology Regulator, other </w:t>
            </w:r>
            <w:proofErr w:type="gramStart"/>
            <w:r>
              <w:rPr>
                <w:rFonts w:ascii="Helvetica LT Std Light" w:hAnsi="Helvetica LT Std Light" w:cs="Helvetica LT Std Light"/>
                <w:color w:val="000000"/>
                <w:sz w:val="18"/>
                <w:szCs w:val="18"/>
              </w:rPr>
              <w:t>regulators</w:t>
            </w:r>
            <w:proofErr w:type="gramEnd"/>
            <w:r>
              <w:rPr>
                <w:rFonts w:ascii="Helvetica LT Std Light" w:hAnsi="Helvetica LT Std Light" w:cs="Helvetica LT Std Light"/>
                <w:color w:val="000000"/>
                <w:sz w:val="18"/>
                <w:szCs w:val="18"/>
              </w:rPr>
              <w:t xml:space="preserve"> and legislation, which may include: </w:t>
            </w:r>
          </w:p>
          <w:p w14:paraId="27687E2D" w14:textId="77777777" w:rsidR="009C582C" w:rsidRDefault="009C582C" w:rsidP="009C582C">
            <w:pPr>
              <w:pStyle w:val="Pa6"/>
              <w:spacing w:after="40"/>
              <w:ind w:left="220" w:hanging="220"/>
              <w:rPr>
                <w:rFonts w:ascii="Helvetica LT Std Light" w:hAnsi="Helvetica LT Std Light" w:cs="Helvetica LT Std Light"/>
                <w:color w:val="000000"/>
                <w:sz w:val="18"/>
                <w:szCs w:val="18"/>
              </w:rPr>
            </w:pPr>
            <w:r>
              <w:rPr>
                <w:rFonts w:cs="Helvetica LT Std"/>
                <w:b/>
                <w:bCs/>
                <w:color w:val="00509C"/>
                <w:sz w:val="18"/>
                <w:szCs w:val="18"/>
              </w:rPr>
              <w:t xml:space="preserve">a) </w:t>
            </w:r>
            <w:r>
              <w:rPr>
                <w:rFonts w:ascii="Helvetica LT Std Light" w:hAnsi="Helvetica LT Std Light" w:cs="Helvetica LT Std Light"/>
                <w:color w:val="000000"/>
                <w:sz w:val="18"/>
                <w:szCs w:val="18"/>
              </w:rPr>
              <w:t xml:space="preserve">identifying opportunities to enhance communication mechanisms and </w:t>
            </w:r>
            <w:proofErr w:type="gramStart"/>
            <w:r>
              <w:rPr>
                <w:rFonts w:ascii="Helvetica LT Std Light" w:hAnsi="Helvetica LT Std Light" w:cs="Helvetica LT Std Light"/>
                <w:color w:val="000000"/>
                <w:sz w:val="18"/>
                <w:szCs w:val="18"/>
              </w:rPr>
              <w:t>linkages;</w:t>
            </w:r>
            <w:proofErr w:type="gramEnd"/>
            <w:r>
              <w:rPr>
                <w:rFonts w:ascii="Helvetica LT Std Light" w:hAnsi="Helvetica LT Std Light" w:cs="Helvetica LT Std Light"/>
                <w:color w:val="000000"/>
                <w:sz w:val="18"/>
                <w:szCs w:val="18"/>
              </w:rPr>
              <w:t xml:space="preserve"> </w:t>
            </w:r>
          </w:p>
          <w:p w14:paraId="6EBD4768" w14:textId="77777777" w:rsidR="009C582C" w:rsidRDefault="009C582C" w:rsidP="009C582C">
            <w:pPr>
              <w:pStyle w:val="Pa6"/>
              <w:spacing w:after="40"/>
              <w:ind w:left="220" w:hanging="220"/>
              <w:rPr>
                <w:rFonts w:ascii="Helvetica LT Std Light" w:hAnsi="Helvetica LT Std Light" w:cs="Helvetica LT Std Light"/>
                <w:color w:val="000000"/>
                <w:sz w:val="18"/>
                <w:szCs w:val="18"/>
              </w:rPr>
            </w:pPr>
            <w:r>
              <w:rPr>
                <w:rFonts w:cs="Helvetica LT Std"/>
                <w:b/>
                <w:bCs/>
                <w:color w:val="00509C"/>
                <w:sz w:val="18"/>
                <w:szCs w:val="18"/>
              </w:rPr>
              <w:t xml:space="preserve">b) </w:t>
            </w:r>
            <w:r>
              <w:rPr>
                <w:rFonts w:ascii="Helvetica LT Std Light" w:hAnsi="Helvetica LT Std Light" w:cs="Helvetica LT Std Light"/>
                <w:color w:val="000000"/>
                <w:sz w:val="18"/>
                <w:szCs w:val="18"/>
              </w:rPr>
              <w:t xml:space="preserve">identifying any emerging areas where legislative or administrative changes can be made, to reduce any unnecessary duplication; and </w:t>
            </w:r>
          </w:p>
          <w:p w14:paraId="2E753D5A" w14:textId="593F31F3" w:rsidR="009C582C" w:rsidRDefault="009C582C" w:rsidP="009C582C">
            <w:pPr>
              <w:pStyle w:val="Pa6"/>
              <w:spacing w:after="40"/>
              <w:ind w:left="220" w:hanging="220"/>
              <w:rPr>
                <w:rFonts w:ascii="Helvetica LT Std Light" w:hAnsi="Helvetica LT Std Light" w:cs="Helvetica LT Std Light"/>
                <w:color w:val="000000"/>
                <w:sz w:val="18"/>
                <w:szCs w:val="18"/>
              </w:rPr>
            </w:pPr>
            <w:r>
              <w:rPr>
                <w:rFonts w:cs="Helvetica LT Std"/>
                <w:b/>
                <w:bCs/>
                <w:color w:val="00509C"/>
                <w:sz w:val="18"/>
                <w:szCs w:val="18"/>
              </w:rPr>
              <w:t xml:space="preserve">c) </w:t>
            </w:r>
            <w:r>
              <w:rPr>
                <w:rFonts w:ascii="Helvetica LT Std Light" w:hAnsi="Helvetica LT Std Light" w:cs="Helvetica LT Std Light"/>
                <w:color w:val="000000"/>
                <w:sz w:val="18"/>
                <w:szCs w:val="18"/>
              </w:rPr>
              <w:t xml:space="preserve">adopting relevant effective mechanisms from other schemes (for example, the </w:t>
            </w:r>
            <w:r>
              <w:rPr>
                <w:rFonts w:ascii="Helvetica LT Std Light" w:hAnsi="Helvetica LT Std Light" w:cs="Helvetica LT Std Light"/>
                <w:i/>
                <w:iCs/>
                <w:color w:val="000000"/>
                <w:sz w:val="18"/>
                <w:szCs w:val="18"/>
              </w:rPr>
              <w:t xml:space="preserve">Therapeutic Goods Act 1989 </w:t>
            </w:r>
            <w:r>
              <w:rPr>
                <w:rFonts w:ascii="Helvetica LT Std Light" w:hAnsi="Helvetica LT Std Light" w:cs="Helvetica LT Std Light"/>
                <w:color w:val="000000"/>
                <w:sz w:val="18"/>
                <w:szCs w:val="18"/>
              </w:rPr>
              <w:t xml:space="preserve">Special Access Scheme) where they may strengthen the Scheme. </w:t>
            </w:r>
          </w:p>
        </w:tc>
        <w:tc>
          <w:tcPr>
            <w:tcW w:w="4961" w:type="dxa"/>
          </w:tcPr>
          <w:p w14:paraId="1C59BBE8" w14:textId="77777777"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In consultation with all relevant gene technology regulators, </w:t>
            </w:r>
            <w:proofErr w:type="gramStart"/>
            <w:r>
              <w:rPr>
                <w:rFonts w:ascii="Helvetica LT Std Light" w:hAnsi="Helvetica LT Std Light" w:cs="Helvetica LT Std Light"/>
                <w:color w:val="000000"/>
                <w:sz w:val="18"/>
                <w:szCs w:val="18"/>
              </w:rPr>
              <w:t>determine;</w:t>
            </w:r>
            <w:proofErr w:type="gramEnd"/>
            <w:r>
              <w:rPr>
                <w:rFonts w:ascii="Helvetica LT Std Light" w:hAnsi="Helvetica LT Std Light" w:cs="Helvetica LT Std Light"/>
                <w:color w:val="000000"/>
                <w:sz w:val="18"/>
                <w:szCs w:val="18"/>
              </w:rPr>
              <w:t xml:space="preserve"> </w:t>
            </w:r>
          </w:p>
          <w:p w14:paraId="398A615D" w14:textId="77777777" w:rsidR="009C582C" w:rsidRDefault="009C582C" w:rsidP="009C582C">
            <w:pPr>
              <w:pStyle w:val="Default"/>
              <w:numPr>
                <w:ilvl w:val="0"/>
                <w:numId w:val="7"/>
              </w:numPr>
              <w:rPr>
                <w:rFonts w:ascii="Helvetica LT Std Light" w:hAnsi="Helvetica LT Std Light" w:cs="Helvetica LT Std Light"/>
                <w:sz w:val="18"/>
                <w:szCs w:val="18"/>
              </w:rPr>
            </w:pPr>
            <w:r>
              <w:rPr>
                <w:rFonts w:ascii="Helvetica LT Std Light" w:hAnsi="Helvetica LT Std Light" w:cs="Helvetica LT Std Light"/>
                <w:sz w:val="18"/>
                <w:szCs w:val="18"/>
              </w:rPr>
              <w:t xml:space="preserve">Regulatory intersection enhancements </w:t>
            </w:r>
          </w:p>
          <w:p w14:paraId="0CC5FB77" w14:textId="77777777" w:rsidR="009C582C" w:rsidRDefault="009C582C" w:rsidP="009C582C">
            <w:pPr>
              <w:pStyle w:val="Default"/>
              <w:numPr>
                <w:ilvl w:val="0"/>
                <w:numId w:val="7"/>
              </w:numPr>
              <w:rPr>
                <w:rFonts w:ascii="Helvetica LT Std Light" w:hAnsi="Helvetica LT Std Light" w:cs="Helvetica LT Std Light"/>
                <w:sz w:val="18"/>
                <w:szCs w:val="18"/>
              </w:rPr>
            </w:pPr>
            <w:r>
              <w:rPr>
                <w:rFonts w:ascii="Helvetica LT Std Light" w:hAnsi="Helvetica LT Std Light" w:cs="Helvetica LT Std Light"/>
                <w:sz w:val="18"/>
                <w:szCs w:val="18"/>
              </w:rPr>
              <w:t>Feasibility of e-business solutions (</w:t>
            </w:r>
            <w:proofErr w:type="gramStart"/>
            <w:r>
              <w:rPr>
                <w:rFonts w:ascii="Helvetica LT Std Light" w:hAnsi="Helvetica LT Std Light" w:cs="Helvetica LT Std Light"/>
                <w:sz w:val="18"/>
                <w:szCs w:val="18"/>
              </w:rPr>
              <w:t>e.g.</w:t>
            </w:r>
            <w:proofErr w:type="gramEnd"/>
            <w:r>
              <w:rPr>
                <w:rFonts w:ascii="Helvetica LT Std Light" w:hAnsi="Helvetica LT Std Light" w:cs="Helvetica LT Std Light"/>
                <w:sz w:val="18"/>
                <w:szCs w:val="18"/>
              </w:rPr>
              <w:t xml:space="preserve"> regulator shared web portal) </w:t>
            </w:r>
          </w:p>
          <w:p w14:paraId="62BF6515" w14:textId="0787CD4F" w:rsidR="009C582C" w:rsidRPr="000779DE" w:rsidRDefault="009C582C" w:rsidP="009C582C">
            <w:pPr>
              <w:pStyle w:val="Default"/>
              <w:numPr>
                <w:ilvl w:val="0"/>
                <w:numId w:val="7"/>
              </w:numPr>
              <w:rPr>
                <w:rFonts w:ascii="Helvetica LT Std Light" w:hAnsi="Helvetica LT Std Light" w:cs="Helvetica LT Std Light"/>
                <w:sz w:val="18"/>
                <w:szCs w:val="18"/>
              </w:rPr>
            </w:pPr>
            <w:r>
              <w:rPr>
                <w:rFonts w:ascii="Helvetica LT Std Light" w:hAnsi="Helvetica LT Std Light" w:cs="Helvetica LT Std Light"/>
                <w:sz w:val="18"/>
                <w:szCs w:val="18"/>
              </w:rPr>
              <w:t xml:space="preserve">Feasibility of adopting effective mechanisms from other Schemes. </w:t>
            </w:r>
          </w:p>
        </w:tc>
        <w:tc>
          <w:tcPr>
            <w:tcW w:w="2410" w:type="dxa"/>
          </w:tcPr>
          <w:p w14:paraId="6395CA17" w14:textId="3B33E973" w:rsidR="009C582C" w:rsidRDefault="00921F38" w:rsidP="009C582C">
            <w:r>
              <w:t>2019–20</w:t>
            </w:r>
          </w:p>
        </w:tc>
      </w:tr>
      <w:tr w:rsidR="009C582C" w14:paraId="3F0C0260" w14:textId="77777777" w:rsidTr="00D3773C">
        <w:trPr>
          <w:cantSplit/>
        </w:trPr>
        <w:tc>
          <w:tcPr>
            <w:tcW w:w="426" w:type="dxa"/>
            <w:tcBorders>
              <w:top w:val="nil"/>
              <w:bottom w:val="nil"/>
            </w:tcBorders>
          </w:tcPr>
          <w:p w14:paraId="2799F826" w14:textId="77777777" w:rsidR="009C582C" w:rsidRDefault="009C582C" w:rsidP="009C582C"/>
        </w:tc>
        <w:tc>
          <w:tcPr>
            <w:tcW w:w="7654" w:type="dxa"/>
            <w:tcBorders>
              <w:top w:val="nil"/>
              <w:bottom w:val="nil"/>
            </w:tcBorders>
          </w:tcPr>
          <w:p w14:paraId="58D1A25E"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7D4EE4CF" w14:textId="5BF92F59"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Develop action plan for GT Forum consideration </w:t>
            </w:r>
          </w:p>
        </w:tc>
        <w:tc>
          <w:tcPr>
            <w:tcW w:w="2410" w:type="dxa"/>
          </w:tcPr>
          <w:p w14:paraId="56ACD248" w14:textId="4FDF8D49" w:rsidR="009C582C" w:rsidRDefault="00921F38" w:rsidP="009C582C">
            <w:r>
              <w:t>2019–21</w:t>
            </w:r>
          </w:p>
        </w:tc>
      </w:tr>
      <w:tr w:rsidR="009C582C" w14:paraId="32296F48" w14:textId="77777777" w:rsidTr="00D3773C">
        <w:trPr>
          <w:cantSplit/>
        </w:trPr>
        <w:tc>
          <w:tcPr>
            <w:tcW w:w="426" w:type="dxa"/>
            <w:tcBorders>
              <w:top w:val="nil"/>
            </w:tcBorders>
          </w:tcPr>
          <w:p w14:paraId="45F290D4" w14:textId="77777777" w:rsidR="009C582C" w:rsidRDefault="009C582C" w:rsidP="009C582C"/>
        </w:tc>
        <w:tc>
          <w:tcPr>
            <w:tcW w:w="7654" w:type="dxa"/>
            <w:tcBorders>
              <w:top w:val="nil"/>
            </w:tcBorders>
          </w:tcPr>
          <w:p w14:paraId="05AAE977"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08CB228C" w14:textId="3B1B187D"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Implement outcome, including any legislative amendment (if required) </w:t>
            </w:r>
          </w:p>
        </w:tc>
        <w:tc>
          <w:tcPr>
            <w:tcW w:w="2410" w:type="dxa"/>
          </w:tcPr>
          <w:p w14:paraId="73F8FDB1" w14:textId="330BAFB8" w:rsidR="009C582C" w:rsidRDefault="00921F38" w:rsidP="009C582C">
            <w:r>
              <w:t>2019–22</w:t>
            </w:r>
          </w:p>
        </w:tc>
      </w:tr>
      <w:tr w:rsidR="009C582C" w14:paraId="0BFFCEA0" w14:textId="77777777" w:rsidTr="00D3773C">
        <w:trPr>
          <w:cantSplit/>
        </w:trPr>
        <w:tc>
          <w:tcPr>
            <w:tcW w:w="426" w:type="dxa"/>
            <w:tcBorders>
              <w:bottom w:val="nil"/>
            </w:tcBorders>
          </w:tcPr>
          <w:p w14:paraId="5654A9D4" w14:textId="611967DE" w:rsidR="009C582C" w:rsidRDefault="009C582C" w:rsidP="009C582C">
            <w:r>
              <w:t>22</w:t>
            </w:r>
          </w:p>
        </w:tc>
        <w:tc>
          <w:tcPr>
            <w:tcW w:w="7654" w:type="dxa"/>
            <w:tcBorders>
              <w:bottom w:val="nil"/>
            </w:tcBorders>
          </w:tcPr>
          <w:p w14:paraId="0903FADE" w14:textId="2415EE37"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that further consideration be given to the most appropriate funding mechanisms to support the ongoing operation of the Scheme, and to appropriate funding levels for the Gene Technology Regulator’s activities, </w:t>
            </w:r>
            <w:proofErr w:type="gramStart"/>
            <w:r>
              <w:rPr>
                <w:rFonts w:ascii="Helvetica LT Std Light" w:hAnsi="Helvetica LT Std Light" w:cs="Helvetica LT Std Light"/>
                <w:color w:val="000000"/>
                <w:sz w:val="18"/>
                <w:szCs w:val="18"/>
              </w:rPr>
              <w:t>taking into account</w:t>
            </w:r>
            <w:proofErr w:type="gramEnd"/>
            <w:r>
              <w:rPr>
                <w:rFonts w:ascii="Helvetica LT Std Light" w:hAnsi="Helvetica LT Std Light" w:cs="Helvetica LT Std Light"/>
                <w:color w:val="000000"/>
                <w:sz w:val="18"/>
                <w:szCs w:val="18"/>
              </w:rPr>
              <w:t xml:space="preserve"> any changes to the Scheme. </w:t>
            </w:r>
          </w:p>
        </w:tc>
        <w:tc>
          <w:tcPr>
            <w:tcW w:w="4961" w:type="dxa"/>
          </w:tcPr>
          <w:p w14:paraId="78BBC9BF" w14:textId="39806978"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Determine and consult on funding options to ensure effective ongoing operation of the Scheme (</w:t>
            </w:r>
            <w:proofErr w:type="gramStart"/>
            <w:r>
              <w:rPr>
                <w:rFonts w:ascii="Helvetica LT Std Light" w:hAnsi="Helvetica LT Std Light" w:cs="Helvetica LT Std Light"/>
                <w:color w:val="000000"/>
                <w:sz w:val="18"/>
                <w:szCs w:val="18"/>
              </w:rPr>
              <w:t>taking into account</w:t>
            </w:r>
            <w:proofErr w:type="gramEnd"/>
            <w:r>
              <w:rPr>
                <w:rFonts w:ascii="Helvetica LT Std Light" w:hAnsi="Helvetica LT Std Light" w:cs="Helvetica LT Std Light"/>
                <w:color w:val="000000"/>
                <w:sz w:val="18"/>
                <w:szCs w:val="18"/>
              </w:rPr>
              <w:t xml:space="preserve"> changes to regulatory activity arising from review reforms) </w:t>
            </w:r>
          </w:p>
        </w:tc>
        <w:tc>
          <w:tcPr>
            <w:tcW w:w="2410" w:type="dxa"/>
          </w:tcPr>
          <w:p w14:paraId="57379FF1" w14:textId="472E44EF" w:rsidR="009C582C" w:rsidRDefault="00921F38" w:rsidP="009C582C">
            <w:r>
              <w:t>2022–23</w:t>
            </w:r>
          </w:p>
        </w:tc>
      </w:tr>
      <w:tr w:rsidR="009C582C" w14:paraId="7CB52226" w14:textId="77777777" w:rsidTr="00D3773C">
        <w:trPr>
          <w:cantSplit/>
        </w:trPr>
        <w:tc>
          <w:tcPr>
            <w:tcW w:w="426" w:type="dxa"/>
            <w:tcBorders>
              <w:top w:val="nil"/>
              <w:bottom w:val="nil"/>
            </w:tcBorders>
          </w:tcPr>
          <w:p w14:paraId="74ECC8CE" w14:textId="77777777" w:rsidR="009C582C" w:rsidRDefault="009C582C" w:rsidP="009C582C"/>
        </w:tc>
        <w:tc>
          <w:tcPr>
            <w:tcW w:w="7654" w:type="dxa"/>
            <w:tcBorders>
              <w:top w:val="nil"/>
              <w:bottom w:val="nil"/>
            </w:tcBorders>
          </w:tcPr>
          <w:p w14:paraId="3AE080F8"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51C086EE" w14:textId="18E61187"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Report to GT Forum </w:t>
            </w:r>
          </w:p>
        </w:tc>
        <w:tc>
          <w:tcPr>
            <w:tcW w:w="2410" w:type="dxa"/>
          </w:tcPr>
          <w:p w14:paraId="62053452" w14:textId="3ED4AA27" w:rsidR="009C582C" w:rsidRDefault="00921F38" w:rsidP="009C582C">
            <w:r>
              <w:t>2019–20</w:t>
            </w:r>
          </w:p>
        </w:tc>
      </w:tr>
      <w:tr w:rsidR="009C582C" w14:paraId="6BC2AD95" w14:textId="77777777" w:rsidTr="00D3773C">
        <w:trPr>
          <w:cantSplit/>
        </w:trPr>
        <w:tc>
          <w:tcPr>
            <w:tcW w:w="426" w:type="dxa"/>
            <w:tcBorders>
              <w:top w:val="nil"/>
            </w:tcBorders>
          </w:tcPr>
          <w:p w14:paraId="70C60CFA" w14:textId="77777777" w:rsidR="009C582C" w:rsidRDefault="009C582C" w:rsidP="009C582C"/>
        </w:tc>
        <w:tc>
          <w:tcPr>
            <w:tcW w:w="7654" w:type="dxa"/>
            <w:tcBorders>
              <w:top w:val="nil"/>
            </w:tcBorders>
          </w:tcPr>
          <w:p w14:paraId="78ECD079"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3006A353" w14:textId="46CEF8BA"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Implement agreed outcome, including any legislative amendment (if required) </w:t>
            </w:r>
          </w:p>
        </w:tc>
        <w:tc>
          <w:tcPr>
            <w:tcW w:w="2410" w:type="dxa"/>
          </w:tcPr>
          <w:p w14:paraId="09B47A40" w14:textId="410E8442" w:rsidR="009C582C" w:rsidRDefault="00921F38" w:rsidP="009C582C">
            <w:r>
              <w:t>2020–23</w:t>
            </w:r>
          </w:p>
        </w:tc>
      </w:tr>
      <w:tr w:rsidR="009C582C" w14:paraId="2A5B13B6" w14:textId="77777777" w:rsidTr="00D3773C">
        <w:trPr>
          <w:cantSplit/>
        </w:trPr>
        <w:tc>
          <w:tcPr>
            <w:tcW w:w="426" w:type="dxa"/>
            <w:tcBorders>
              <w:bottom w:val="nil"/>
            </w:tcBorders>
          </w:tcPr>
          <w:p w14:paraId="4F13DDF0" w14:textId="1652946C" w:rsidR="009C582C" w:rsidRDefault="009C582C" w:rsidP="009C582C">
            <w:r>
              <w:t>23</w:t>
            </w:r>
          </w:p>
        </w:tc>
        <w:tc>
          <w:tcPr>
            <w:tcW w:w="7654" w:type="dxa"/>
            <w:tcBorders>
              <w:bottom w:val="nil"/>
            </w:tcBorders>
          </w:tcPr>
          <w:p w14:paraId="48361947" w14:textId="1A6811A6"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that targeted communications be developed to aid public understanding and confidence in the Gene Technology Scheme and identify the most appropriate body/bodies to deliver communications materials. </w:t>
            </w:r>
          </w:p>
        </w:tc>
        <w:tc>
          <w:tcPr>
            <w:tcW w:w="4961" w:type="dxa"/>
          </w:tcPr>
          <w:p w14:paraId="5E749182" w14:textId="6CF77AA6"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Develop targeted communication strategy and action plan (including materials, platforms, and trusted agencies) </w:t>
            </w:r>
          </w:p>
        </w:tc>
        <w:tc>
          <w:tcPr>
            <w:tcW w:w="2410" w:type="dxa"/>
          </w:tcPr>
          <w:p w14:paraId="38FF0477" w14:textId="1A46B44C" w:rsidR="009C582C" w:rsidRDefault="00921F38" w:rsidP="009C582C">
            <w:r>
              <w:t>2018–20</w:t>
            </w:r>
          </w:p>
        </w:tc>
      </w:tr>
      <w:tr w:rsidR="009C582C" w14:paraId="083D5F2F" w14:textId="77777777" w:rsidTr="00D3773C">
        <w:trPr>
          <w:cantSplit/>
        </w:trPr>
        <w:tc>
          <w:tcPr>
            <w:tcW w:w="426" w:type="dxa"/>
            <w:tcBorders>
              <w:top w:val="nil"/>
              <w:bottom w:val="nil"/>
            </w:tcBorders>
          </w:tcPr>
          <w:p w14:paraId="64CB15DA" w14:textId="77777777" w:rsidR="009C582C" w:rsidRDefault="009C582C" w:rsidP="009C582C"/>
        </w:tc>
        <w:tc>
          <w:tcPr>
            <w:tcW w:w="7654" w:type="dxa"/>
            <w:tcBorders>
              <w:top w:val="nil"/>
              <w:bottom w:val="nil"/>
            </w:tcBorders>
          </w:tcPr>
          <w:p w14:paraId="5E124295"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7D9127AA" w14:textId="3DA7AA61"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Identify most appropriate body to deliver communication materials and monitor delivery </w:t>
            </w:r>
          </w:p>
        </w:tc>
        <w:tc>
          <w:tcPr>
            <w:tcW w:w="2410" w:type="dxa"/>
          </w:tcPr>
          <w:p w14:paraId="44ABA748" w14:textId="5076FE13" w:rsidR="009C582C" w:rsidRDefault="00921F38" w:rsidP="009C582C">
            <w:r>
              <w:t>2019–23</w:t>
            </w:r>
          </w:p>
        </w:tc>
      </w:tr>
      <w:tr w:rsidR="009C582C" w14:paraId="65553238" w14:textId="77777777" w:rsidTr="00D3773C">
        <w:trPr>
          <w:cantSplit/>
        </w:trPr>
        <w:tc>
          <w:tcPr>
            <w:tcW w:w="426" w:type="dxa"/>
            <w:tcBorders>
              <w:top w:val="nil"/>
              <w:bottom w:val="nil"/>
            </w:tcBorders>
          </w:tcPr>
          <w:p w14:paraId="3D497F20" w14:textId="77777777" w:rsidR="009C582C" w:rsidRDefault="009C582C" w:rsidP="009C582C"/>
        </w:tc>
        <w:tc>
          <w:tcPr>
            <w:tcW w:w="7654" w:type="dxa"/>
            <w:tcBorders>
              <w:top w:val="nil"/>
              <w:bottom w:val="nil"/>
            </w:tcBorders>
          </w:tcPr>
          <w:p w14:paraId="479ED5E0"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337FD7C1" w14:textId="368AA784"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Report to Forum on administrative and legislative amendments to adopt improvements </w:t>
            </w:r>
          </w:p>
        </w:tc>
        <w:tc>
          <w:tcPr>
            <w:tcW w:w="2410" w:type="dxa"/>
          </w:tcPr>
          <w:p w14:paraId="4A84D7BC" w14:textId="469949F8" w:rsidR="009C582C" w:rsidRDefault="00921F38" w:rsidP="009C582C">
            <w:r>
              <w:t>2019–20</w:t>
            </w:r>
          </w:p>
        </w:tc>
      </w:tr>
      <w:tr w:rsidR="009C582C" w14:paraId="79CE4B6F" w14:textId="77777777" w:rsidTr="00D3773C">
        <w:trPr>
          <w:cantSplit/>
        </w:trPr>
        <w:tc>
          <w:tcPr>
            <w:tcW w:w="426" w:type="dxa"/>
            <w:tcBorders>
              <w:top w:val="nil"/>
            </w:tcBorders>
          </w:tcPr>
          <w:p w14:paraId="7398FCA2" w14:textId="77777777" w:rsidR="009C582C" w:rsidRDefault="009C582C" w:rsidP="009C582C"/>
        </w:tc>
        <w:tc>
          <w:tcPr>
            <w:tcW w:w="7654" w:type="dxa"/>
            <w:tcBorders>
              <w:top w:val="nil"/>
            </w:tcBorders>
          </w:tcPr>
          <w:p w14:paraId="4F20CF9B" w14:textId="77777777" w:rsidR="009C582C" w:rsidRDefault="009C582C" w:rsidP="009C582C">
            <w:pPr>
              <w:pStyle w:val="Pa5"/>
              <w:spacing w:after="40"/>
              <w:rPr>
                <w:rFonts w:ascii="Helvetica LT Std Light" w:hAnsi="Helvetica LT Std Light" w:cs="Helvetica LT Std Light"/>
                <w:color w:val="000000"/>
                <w:sz w:val="18"/>
                <w:szCs w:val="18"/>
              </w:rPr>
            </w:pPr>
          </w:p>
        </w:tc>
        <w:tc>
          <w:tcPr>
            <w:tcW w:w="4961" w:type="dxa"/>
          </w:tcPr>
          <w:p w14:paraId="38C957C8" w14:textId="0A7A803C"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Implement agreed outcomes, including any administrative and legislative amendment (if required) </w:t>
            </w:r>
          </w:p>
        </w:tc>
        <w:tc>
          <w:tcPr>
            <w:tcW w:w="2410" w:type="dxa"/>
          </w:tcPr>
          <w:p w14:paraId="1F3971C5" w14:textId="638E571E" w:rsidR="009C582C" w:rsidRDefault="00921F38" w:rsidP="009C582C">
            <w:r>
              <w:t>2020–23</w:t>
            </w:r>
          </w:p>
        </w:tc>
      </w:tr>
      <w:tr w:rsidR="009C582C" w14:paraId="49857C08" w14:textId="77777777" w:rsidTr="009C582C">
        <w:trPr>
          <w:cantSplit/>
        </w:trPr>
        <w:tc>
          <w:tcPr>
            <w:tcW w:w="426" w:type="dxa"/>
          </w:tcPr>
          <w:p w14:paraId="5B617E13" w14:textId="517F54DD" w:rsidR="009C582C" w:rsidRDefault="009C582C" w:rsidP="009C582C">
            <w:r>
              <w:t>26</w:t>
            </w:r>
          </w:p>
        </w:tc>
        <w:tc>
          <w:tcPr>
            <w:tcW w:w="7654" w:type="dxa"/>
          </w:tcPr>
          <w:p w14:paraId="462E8C39" w14:textId="225DF4A3"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The Review recommends a science-based review of monitoring arrangements to ensure that any post release risks continue to be appropriately managed. </w:t>
            </w:r>
          </w:p>
        </w:tc>
        <w:tc>
          <w:tcPr>
            <w:tcW w:w="4961" w:type="dxa"/>
          </w:tcPr>
          <w:p w14:paraId="02C64113" w14:textId="218F8CCE" w:rsidR="009C582C" w:rsidRDefault="009C582C" w:rsidP="009C582C">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Review the adequacy of the Scheme’s monitoring and enforcement activities</w:t>
            </w:r>
          </w:p>
        </w:tc>
        <w:tc>
          <w:tcPr>
            <w:tcW w:w="2410" w:type="dxa"/>
          </w:tcPr>
          <w:p w14:paraId="0ABB2BA1" w14:textId="05E5835D" w:rsidR="009C582C" w:rsidRDefault="00921F38" w:rsidP="009C582C">
            <w:r>
              <w:t>2019–20</w:t>
            </w:r>
          </w:p>
        </w:tc>
      </w:tr>
    </w:tbl>
    <w:p w14:paraId="07F33BEF" w14:textId="7914C162" w:rsidR="008D6AA6" w:rsidRDefault="008D6AA6">
      <w:pPr>
        <w:pStyle w:val="Pa5"/>
        <w:spacing w:after="40"/>
        <w:rPr>
          <w:rFonts w:ascii="Helvetica LT Std Light" w:hAnsi="Helvetica LT Std Light" w:cs="Helvetica LT Std Light"/>
          <w:color w:val="000000"/>
          <w:sz w:val="18"/>
          <w:szCs w:val="18"/>
        </w:rPr>
      </w:pPr>
      <w:r>
        <w:rPr>
          <w:rFonts w:ascii="Helvetica LT Std Light" w:hAnsi="Helvetica LT Std Light" w:cs="Helvetica LT Std Light"/>
          <w:color w:val="000000"/>
          <w:sz w:val="18"/>
          <w:szCs w:val="18"/>
        </w:rPr>
        <w:t xml:space="preserve"> </w:t>
      </w:r>
    </w:p>
    <w:p w14:paraId="2A980DFB" w14:textId="02AE7667" w:rsidR="008D6AA6" w:rsidRDefault="008D6AA6" w:rsidP="009C582C">
      <w:pPr>
        <w:pStyle w:val="Heading2"/>
      </w:pPr>
      <w:r w:rsidRPr="008D6AA6">
        <w:t>Ongoing oversight by the Forum and GTSC</w:t>
      </w:r>
    </w:p>
    <w:tbl>
      <w:tblPr>
        <w:tblStyle w:val="TableGrid"/>
        <w:tblW w:w="15309" w:type="dxa"/>
        <w:tblBorders>
          <w:top w:val="none" w:sz="0" w:space="0" w:color="auto"/>
          <w:left w:val="none" w:sz="0" w:space="0" w:color="auto"/>
          <w:bottom w:val="none" w:sz="0" w:space="0" w:color="auto"/>
          <w:right w:val="none" w:sz="0" w:space="0" w:color="auto"/>
          <w:insideH w:val="single" w:sz="4" w:space="0" w:color="70AD47" w:themeColor="accent6"/>
          <w:insideV w:val="none" w:sz="0" w:space="0" w:color="auto"/>
        </w:tblBorders>
        <w:tblLook w:val="04A0" w:firstRow="1" w:lastRow="0" w:firstColumn="1" w:lastColumn="0" w:noHBand="0" w:noVBand="1"/>
        <w:tblCaption w:val="Table contains text on the forum action plan"/>
        <w:tblDescription w:val="Table contains text on the forum action plan"/>
      </w:tblPr>
      <w:tblGrid>
        <w:gridCol w:w="426"/>
        <w:gridCol w:w="10914"/>
        <w:gridCol w:w="3969"/>
      </w:tblGrid>
      <w:tr w:rsidR="009C582C" w:rsidRPr="00850D97" w14:paraId="0B23926E" w14:textId="77777777" w:rsidTr="009C582C">
        <w:tc>
          <w:tcPr>
            <w:tcW w:w="426" w:type="dxa"/>
            <w:shd w:val="clear" w:color="auto" w:fill="008574"/>
            <w:vAlign w:val="center"/>
          </w:tcPr>
          <w:p w14:paraId="58E75A33" w14:textId="4227341C" w:rsidR="009C582C" w:rsidRPr="00850D97" w:rsidRDefault="009C582C" w:rsidP="009C582C">
            <w:pPr>
              <w:rPr>
                <w:b/>
                <w:color w:val="FFFFFF" w:themeColor="background1"/>
                <w:sz w:val="21"/>
              </w:rPr>
            </w:pPr>
          </w:p>
        </w:tc>
        <w:tc>
          <w:tcPr>
            <w:tcW w:w="10914" w:type="dxa"/>
            <w:shd w:val="clear" w:color="auto" w:fill="008574"/>
            <w:vAlign w:val="center"/>
          </w:tcPr>
          <w:p w14:paraId="23E7C8D3" w14:textId="54F134D7" w:rsidR="009C582C" w:rsidRPr="009C582C" w:rsidRDefault="009C582C" w:rsidP="009C582C">
            <w:pPr>
              <w:rPr>
                <w:b/>
                <w:color w:val="FFFFFF" w:themeColor="background1"/>
              </w:rPr>
            </w:pPr>
            <w:r w:rsidRPr="009C582C">
              <w:rPr>
                <w:b/>
                <w:color w:val="FFFFFF" w:themeColor="background1"/>
              </w:rPr>
              <w:t xml:space="preserve">Recommendation from the Third Review of the National Gene Technology Scheme </w:t>
            </w:r>
          </w:p>
        </w:tc>
        <w:tc>
          <w:tcPr>
            <w:tcW w:w="3969" w:type="dxa"/>
            <w:shd w:val="clear" w:color="auto" w:fill="008574"/>
            <w:vAlign w:val="center"/>
          </w:tcPr>
          <w:p w14:paraId="0E0FFDCE" w14:textId="77777777" w:rsidR="009C582C" w:rsidRPr="009C582C" w:rsidRDefault="009C582C" w:rsidP="009C582C">
            <w:pPr>
              <w:rPr>
                <w:b/>
                <w:color w:val="FFFFFF" w:themeColor="background1"/>
              </w:rPr>
            </w:pPr>
            <w:r w:rsidRPr="009C582C">
              <w:rPr>
                <w:b/>
                <w:color w:val="FFFFFF" w:themeColor="background1"/>
              </w:rPr>
              <w:t>Actions</w:t>
            </w:r>
          </w:p>
        </w:tc>
      </w:tr>
      <w:tr w:rsidR="009C582C" w14:paraId="670A3EAC" w14:textId="77777777" w:rsidTr="009C582C">
        <w:tc>
          <w:tcPr>
            <w:tcW w:w="426" w:type="dxa"/>
          </w:tcPr>
          <w:p w14:paraId="6EB5402D" w14:textId="7D4359F2" w:rsidR="009C582C" w:rsidRDefault="009C582C" w:rsidP="009C582C">
            <w:pPr>
              <w:rPr>
                <w:rFonts w:ascii="Helvetica LT Std" w:hAnsi="Helvetica LT Std" w:cs="Helvetica LT Std"/>
                <w:color w:val="FFFFFF"/>
                <w:sz w:val="23"/>
                <w:szCs w:val="23"/>
              </w:rPr>
            </w:pPr>
            <w:r>
              <w:t>2</w:t>
            </w:r>
          </w:p>
        </w:tc>
        <w:tc>
          <w:tcPr>
            <w:tcW w:w="10914" w:type="dxa"/>
          </w:tcPr>
          <w:p w14:paraId="54BB0D09" w14:textId="093E61F1" w:rsidR="009C582C" w:rsidRPr="00850D97" w:rsidRDefault="009C582C" w:rsidP="009C582C">
            <w:pPr>
              <w:tabs>
                <w:tab w:val="clear" w:pos="2092"/>
                <w:tab w:val="clear" w:pos="4076"/>
              </w:tabs>
            </w:pPr>
            <w:r w:rsidRPr="008D6AA6">
              <w:t xml:space="preserve">The Review recommends that the object of the </w:t>
            </w:r>
            <w:r w:rsidRPr="008D6AA6">
              <w:rPr>
                <w:i/>
                <w:iCs/>
              </w:rPr>
              <w:t xml:space="preserve">Gene Technology Act 2000 </w:t>
            </w:r>
            <w:r w:rsidRPr="008D6AA6">
              <w:t>be maintained.</w:t>
            </w:r>
          </w:p>
        </w:tc>
        <w:tc>
          <w:tcPr>
            <w:tcW w:w="3969" w:type="dxa"/>
          </w:tcPr>
          <w:p w14:paraId="5F63E745" w14:textId="77777777" w:rsidR="009C582C" w:rsidRDefault="009C582C" w:rsidP="009C582C"/>
        </w:tc>
      </w:tr>
      <w:tr w:rsidR="009C582C" w14:paraId="37FACA0B" w14:textId="77777777" w:rsidTr="009C582C">
        <w:tc>
          <w:tcPr>
            <w:tcW w:w="426" w:type="dxa"/>
          </w:tcPr>
          <w:p w14:paraId="1735614F" w14:textId="2B25E8F4" w:rsidR="009C582C" w:rsidRDefault="009C582C" w:rsidP="009C582C">
            <w:r>
              <w:t>3</w:t>
            </w:r>
          </w:p>
        </w:tc>
        <w:tc>
          <w:tcPr>
            <w:tcW w:w="10914" w:type="dxa"/>
          </w:tcPr>
          <w:p w14:paraId="75E2C1DA" w14:textId="2B0D980B" w:rsidR="009C582C" w:rsidRPr="008D6AA6" w:rsidRDefault="009C582C" w:rsidP="009C582C">
            <w:pPr>
              <w:tabs>
                <w:tab w:val="clear" w:pos="2092"/>
                <w:tab w:val="clear" w:pos="4076"/>
              </w:tabs>
            </w:pPr>
            <w:r w:rsidRPr="008D6AA6">
              <w:t>The Review recommends that the Gene Technology Agreement be maintained.</w:t>
            </w:r>
          </w:p>
        </w:tc>
        <w:tc>
          <w:tcPr>
            <w:tcW w:w="3969" w:type="dxa"/>
          </w:tcPr>
          <w:p w14:paraId="1733C434" w14:textId="77777777" w:rsidR="009C582C" w:rsidRDefault="009C582C" w:rsidP="009C582C"/>
        </w:tc>
      </w:tr>
      <w:tr w:rsidR="009C582C" w14:paraId="21A91545" w14:textId="77777777" w:rsidTr="009C582C">
        <w:tc>
          <w:tcPr>
            <w:tcW w:w="426" w:type="dxa"/>
          </w:tcPr>
          <w:p w14:paraId="208DE9A8" w14:textId="6EA1C64A" w:rsidR="009C582C" w:rsidRDefault="009C582C" w:rsidP="009C582C">
            <w:r>
              <w:t>5</w:t>
            </w:r>
          </w:p>
        </w:tc>
        <w:tc>
          <w:tcPr>
            <w:tcW w:w="10914" w:type="dxa"/>
          </w:tcPr>
          <w:p w14:paraId="6063767D" w14:textId="77777777" w:rsidR="009C582C" w:rsidRPr="008D6AA6" w:rsidRDefault="009C582C" w:rsidP="009C582C">
            <w:pPr>
              <w:tabs>
                <w:tab w:val="clear" w:pos="2092"/>
                <w:tab w:val="clear" w:pos="4076"/>
              </w:tabs>
            </w:pPr>
            <w:r w:rsidRPr="008D6AA6">
              <w:t>The Review Recommends that:</w:t>
            </w:r>
          </w:p>
          <w:p w14:paraId="62C58754" w14:textId="2D479CD7" w:rsidR="009C582C" w:rsidRDefault="009C582C" w:rsidP="009C582C">
            <w:pPr>
              <w:pStyle w:val="ListParagraph"/>
              <w:numPr>
                <w:ilvl w:val="0"/>
                <w:numId w:val="9"/>
              </w:numPr>
              <w:tabs>
                <w:tab w:val="clear" w:pos="2092"/>
                <w:tab w:val="clear" w:pos="4076"/>
              </w:tabs>
            </w:pPr>
            <w:r w:rsidRPr="008D6AA6">
              <w:t>extensions and advancements of gene technology, such as synthetic biology, continue to remain within the scope of the Scheme; and</w:t>
            </w:r>
          </w:p>
          <w:p w14:paraId="7F49A2CD" w14:textId="2BDB08B3" w:rsidR="009C582C" w:rsidRPr="008D6AA6" w:rsidRDefault="009C582C" w:rsidP="009C582C">
            <w:pPr>
              <w:pStyle w:val="ListParagraph"/>
              <w:numPr>
                <w:ilvl w:val="0"/>
                <w:numId w:val="9"/>
              </w:numPr>
              <w:tabs>
                <w:tab w:val="clear" w:pos="2092"/>
                <w:tab w:val="clear" w:pos="4076"/>
              </w:tabs>
            </w:pPr>
            <w:r w:rsidRPr="008D6AA6">
              <w:t>a watching brief on synthetic biology should be maintained, to ensure the appropriate level of regulation is applied to further applications of synthetic biology.</w:t>
            </w:r>
          </w:p>
        </w:tc>
        <w:tc>
          <w:tcPr>
            <w:tcW w:w="3969" w:type="dxa"/>
          </w:tcPr>
          <w:p w14:paraId="46F78B55" w14:textId="734ED6B2" w:rsidR="009C582C" w:rsidRDefault="009C582C" w:rsidP="009C582C">
            <w:pPr>
              <w:tabs>
                <w:tab w:val="clear" w:pos="2092"/>
                <w:tab w:val="clear" w:pos="4076"/>
              </w:tabs>
            </w:pPr>
            <w:r w:rsidRPr="008D6AA6">
              <w:t>Regular updates to the Forum on outcomes of watching brief on synthetic biology</w:t>
            </w:r>
          </w:p>
        </w:tc>
      </w:tr>
      <w:tr w:rsidR="009C582C" w14:paraId="1F74709E" w14:textId="77777777" w:rsidTr="009C582C">
        <w:tc>
          <w:tcPr>
            <w:tcW w:w="426" w:type="dxa"/>
          </w:tcPr>
          <w:p w14:paraId="11FD3596" w14:textId="51111239" w:rsidR="009C582C" w:rsidRDefault="009C582C" w:rsidP="009C582C">
            <w:r>
              <w:t>8</w:t>
            </w:r>
          </w:p>
        </w:tc>
        <w:tc>
          <w:tcPr>
            <w:tcW w:w="10914" w:type="dxa"/>
          </w:tcPr>
          <w:p w14:paraId="39FD793C" w14:textId="64AF339F" w:rsidR="009C582C" w:rsidRPr="008D6AA6" w:rsidRDefault="009C582C" w:rsidP="009C582C">
            <w:pPr>
              <w:tabs>
                <w:tab w:val="clear" w:pos="2092"/>
                <w:tab w:val="clear" w:pos="4076"/>
              </w:tabs>
            </w:pPr>
            <w:r w:rsidRPr="008D6AA6">
              <w:t>The Review recommends that a process-based trigger be maintained as the entry point for the Scheme at the present, to allow for any potential risks associated with new technologies to be initially considered within the scope of the Scheme.</w:t>
            </w:r>
          </w:p>
        </w:tc>
        <w:tc>
          <w:tcPr>
            <w:tcW w:w="3969" w:type="dxa"/>
          </w:tcPr>
          <w:p w14:paraId="4C20C00C" w14:textId="77777777" w:rsidR="009C582C" w:rsidRPr="008D6AA6" w:rsidRDefault="009C582C" w:rsidP="009C582C">
            <w:pPr>
              <w:tabs>
                <w:tab w:val="clear" w:pos="2092"/>
                <w:tab w:val="clear" w:pos="4076"/>
              </w:tabs>
            </w:pPr>
          </w:p>
        </w:tc>
      </w:tr>
      <w:tr w:rsidR="009C582C" w14:paraId="364418D3" w14:textId="77777777" w:rsidTr="009C582C">
        <w:tc>
          <w:tcPr>
            <w:tcW w:w="426" w:type="dxa"/>
          </w:tcPr>
          <w:p w14:paraId="5BA5D865" w14:textId="5A1E67C9" w:rsidR="009C582C" w:rsidRDefault="009C582C" w:rsidP="009C582C">
            <w:r>
              <w:t>15</w:t>
            </w:r>
          </w:p>
        </w:tc>
        <w:tc>
          <w:tcPr>
            <w:tcW w:w="10914" w:type="dxa"/>
          </w:tcPr>
          <w:p w14:paraId="34DB4126" w14:textId="77777777" w:rsidR="009C582C" w:rsidRPr="008D6AA6" w:rsidRDefault="009C582C" w:rsidP="009C582C">
            <w:pPr>
              <w:tabs>
                <w:tab w:val="clear" w:pos="2092"/>
                <w:tab w:val="clear" w:pos="4076"/>
              </w:tabs>
            </w:pPr>
            <w:r w:rsidRPr="008D6AA6">
              <w:t>The Review recommends that the Australian Government, including the Gene Technology Regulator on regulatory matters, continues to:</w:t>
            </w:r>
          </w:p>
          <w:p w14:paraId="5A5F1084" w14:textId="7777777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a) </w:t>
            </w:r>
            <w:r w:rsidRPr="008D6AA6">
              <w:t>engage with appropriate international fora on matters relevant to market access and international trade; and</w:t>
            </w:r>
          </w:p>
          <w:p w14:paraId="046B89AA" w14:textId="3A2FFB9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b) </w:t>
            </w:r>
            <w:r w:rsidRPr="008D6AA6">
              <w:t>ensure that any relevant international obligations continue to be met.</w:t>
            </w:r>
          </w:p>
        </w:tc>
        <w:tc>
          <w:tcPr>
            <w:tcW w:w="3969" w:type="dxa"/>
          </w:tcPr>
          <w:p w14:paraId="2C8CF29C" w14:textId="7711ECB3" w:rsidR="009C582C" w:rsidRPr="008D6AA6" w:rsidRDefault="009C582C" w:rsidP="009C582C">
            <w:pPr>
              <w:tabs>
                <w:tab w:val="clear" w:pos="2092"/>
                <w:tab w:val="clear" w:pos="4076"/>
              </w:tabs>
            </w:pPr>
            <w:r w:rsidRPr="008D6AA6">
              <w:t>The Regulator to update the Forum, as required, on any changes to relevant international obligations, and how they are met.</w:t>
            </w:r>
          </w:p>
        </w:tc>
      </w:tr>
      <w:tr w:rsidR="009C582C" w14:paraId="179C9B30" w14:textId="77777777" w:rsidTr="009C582C">
        <w:tc>
          <w:tcPr>
            <w:tcW w:w="426" w:type="dxa"/>
          </w:tcPr>
          <w:p w14:paraId="4D0543EE" w14:textId="3444570F" w:rsidR="009C582C" w:rsidRDefault="009C582C" w:rsidP="009C582C">
            <w:r>
              <w:t>16</w:t>
            </w:r>
          </w:p>
        </w:tc>
        <w:tc>
          <w:tcPr>
            <w:tcW w:w="10914" w:type="dxa"/>
          </w:tcPr>
          <w:p w14:paraId="6CEFFF13" w14:textId="77777777" w:rsidR="009C582C" w:rsidRPr="008D6AA6" w:rsidRDefault="009C582C" w:rsidP="009C582C">
            <w:pPr>
              <w:tabs>
                <w:tab w:val="clear" w:pos="2092"/>
                <w:tab w:val="clear" w:pos="4076"/>
              </w:tabs>
            </w:pPr>
            <w:r w:rsidRPr="008D6AA6">
              <w:t>The Review recommends maintaining current governance mechanisms to ensure that the Scheme’s current levels of credibility, integrity and legitimacy are upheld. This includes maintaining:</w:t>
            </w:r>
          </w:p>
          <w:p w14:paraId="4E197057" w14:textId="7777777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a) </w:t>
            </w:r>
            <w:r w:rsidRPr="008D6AA6">
              <w:t xml:space="preserve">high level governance oversight provided by all states and territories through a Legislative and Governance Forum on Gene </w:t>
            </w:r>
            <w:proofErr w:type="gramStart"/>
            <w:r w:rsidRPr="008D6AA6">
              <w:t>Technology;</w:t>
            </w:r>
            <w:proofErr w:type="gramEnd"/>
          </w:p>
          <w:p w14:paraId="40F79DEF" w14:textId="77777777"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b) </w:t>
            </w:r>
            <w:r w:rsidRPr="008D6AA6">
              <w:t>the independence and credibility of the Gene Technology Regulator; and</w:t>
            </w:r>
          </w:p>
          <w:p w14:paraId="5E0BD06F" w14:textId="2AA26413" w:rsidR="009C582C" w:rsidRPr="008D6AA6" w:rsidRDefault="009C582C" w:rsidP="009C582C">
            <w:pPr>
              <w:tabs>
                <w:tab w:val="clear" w:pos="2092"/>
                <w:tab w:val="clear" w:pos="4076"/>
              </w:tabs>
              <w:ind w:left="220" w:hanging="220"/>
            </w:pPr>
            <w:r w:rsidRPr="008D6AA6">
              <w:rPr>
                <w:rFonts w:ascii="Helvetica LT Std" w:hAnsi="Helvetica LT Std" w:cs="Helvetica LT Std"/>
                <w:b/>
                <w:bCs/>
                <w:color w:val="00509C"/>
              </w:rPr>
              <w:t xml:space="preserve">c) </w:t>
            </w:r>
            <w:r w:rsidRPr="008D6AA6">
              <w:t>robust governance processes providing oversight of advisory structures and appointments.</w:t>
            </w:r>
          </w:p>
        </w:tc>
        <w:tc>
          <w:tcPr>
            <w:tcW w:w="3969" w:type="dxa"/>
          </w:tcPr>
          <w:p w14:paraId="06481D67" w14:textId="77777777" w:rsidR="009C582C" w:rsidRPr="008D6AA6" w:rsidRDefault="009C582C" w:rsidP="009C582C">
            <w:pPr>
              <w:tabs>
                <w:tab w:val="clear" w:pos="2092"/>
                <w:tab w:val="clear" w:pos="4076"/>
              </w:tabs>
            </w:pPr>
          </w:p>
        </w:tc>
      </w:tr>
      <w:tr w:rsidR="009C582C" w14:paraId="4EAE0E59" w14:textId="77777777" w:rsidTr="00D3773C">
        <w:tc>
          <w:tcPr>
            <w:tcW w:w="426" w:type="dxa"/>
            <w:tcBorders>
              <w:bottom w:val="nil"/>
            </w:tcBorders>
          </w:tcPr>
          <w:p w14:paraId="70AC7434" w14:textId="114E054C" w:rsidR="009C582C" w:rsidRDefault="009C582C" w:rsidP="009C582C">
            <w:r>
              <w:t>19</w:t>
            </w:r>
          </w:p>
        </w:tc>
        <w:tc>
          <w:tcPr>
            <w:tcW w:w="10914" w:type="dxa"/>
            <w:tcBorders>
              <w:bottom w:val="nil"/>
            </w:tcBorders>
          </w:tcPr>
          <w:p w14:paraId="22F2DC5E" w14:textId="6039C32A" w:rsidR="009C582C" w:rsidRPr="008D6AA6" w:rsidRDefault="009C582C" w:rsidP="009C582C">
            <w:pPr>
              <w:tabs>
                <w:tab w:val="clear" w:pos="2092"/>
                <w:tab w:val="clear" w:pos="4076"/>
              </w:tabs>
            </w:pPr>
            <w:r w:rsidRPr="008D6AA6">
              <w:t>The Review recommends that consideration of benefits (</w:t>
            </w:r>
            <w:proofErr w:type="gramStart"/>
            <w:r w:rsidRPr="008D6AA6">
              <w:t>e.g.</w:t>
            </w:r>
            <w:proofErr w:type="gramEnd"/>
            <w:r w:rsidRPr="008D6AA6">
              <w:t xml:space="preserve"> potential economic, environmental and health benefits) should not be introduced as an element of regulatory decision making at this time.</w:t>
            </w:r>
          </w:p>
        </w:tc>
        <w:tc>
          <w:tcPr>
            <w:tcW w:w="3969" w:type="dxa"/>
          </w:tcPr>
          <w:p w14:paraId="59FCB4B9" w14:textId="77777777" w:rsidR="009C582C" w:rsidRPr="008D6AA6" w:rsidRDefault="009C582C" w:rsidP="009C582C">
            <w:pPr>
              <w:tabs>
                <w:tab w:val="clear" w:pos="2092"/>
                <w:tab w:val="clear" w:pos="4076"/>
              </w:tabs>
            </w:pPr>
          </w:p>
        </w:tc>
      </w:tr>
      <w:tr w:rsidR="009C582C" w14:paraId="128380F8" w14:textId="77777777" w:rsidTr="00D3773C">
        <w:tc>
          <w:tcPr>
            <w:tcW w:w="426" w:type="dxa"/>
            <w:tcBorders>
              <w:top w:val="nil"/>
              <w:bottom w:val="nil"/>
            </w:tcBorders>
          </w:tcPr>
          <w:p w14:paraId="16D67C68" w14:textId="02ECEEC8" w:rsidR="009C582C" w:rsidRDefault="009C582C" w:rsidP="009C582C">
            <w:r>
              <w:lastRenderedPageBreak/>
              <w:t>20</w:t>
            </w:r>
          </w:p>
        </w:tc>
        <w:tc>
          <w:tcPr>
            <w:tcW w:w="10914" w:type="dxa"/>
            <w:tcBorders>
              <w:top w:val="nil"/>
              <w:bottom w:val="nil"/>
            </w:tcBorders>
          </w:tcPr>
          <w:p w14:paraId="3D6F60B9" w14:textId="5C01A8CB" w:rsidR="009C582C" w:rsidRPr="008D6AA6" w:rsidRDefault="009C582C" w:rsidP="009C582C">
            <w:pPr>
              <w:tabs>
                <w:tab w:val="clear" w:pos="2092"/>
                <w:tab w:val="clear" w:pos="4076"/>
              </w:tabs>
            </w:pPr>
            <w:r w:rsidRPr="008D6AA6">
              <w:t>The Review recommends that the Scheme ensure regulation remains commensurate with the level of risk posed by a dealing (see Recommendations 9 and 10) so that no unnecessary regulatory burdens are imposed.</w:t>
            </w:r>
          </w:p>
        </w:tc>
        <w:tc>
          <w:tcPr>
            <w:tcW w:w="3969" w:type="dxa"/>
          </w:tcPr>
          <w:p w14:paraId="74DE62DC" w14:textId="02BEA2F2" w:rsidR="009C582C" w:rsidRPr="008D6AA6" w:rsidRDefault="009C582C" w:rsidP="009C582C">
            <w:pPr>
              <w:tabs>
                <w:tab w:val="clear" w:pos="2092"/>
                <w:tab w:val="clear" w:pos="4076"/>
              </w:tabs>
            </w:pPr>
            <w:r w:rsidRPr="008D6AA6">
              <w:t>Identify opportunities to ensure regulation remains commensurate with the level of risk posed by a dealing; consult as necessary</w:t>
            </w:r>
          </w:p>
        </w:tc>
      </w:tr>
      <w:tr w:rsidR="009C582C" w14:paraId="4F7E2D71" w14:textId="77777777" w:rsidTr="00D3773C">
        <w:tc>
          <w:tcPr>
            <w:tcW w:w="426" w:type="dxa"/>
            <w:tcBorders>
              <w:top w:val="nil"/>
              <w:bottom w:val="nil"/>
            </w:tcBorders>
          </w:tcPr>
          <w:p w14:paraId="6FA3AADE" w14:textId="77777777" w:rsidR="009C582C" w:rsidRDefault="009C582C" w:rsidP="009C582C"/>
        </w:tc>
        <w:tc>
          <w:tcPr>
            <w:tcW w:w="10914" w:type="dxa"/>
            <w:tcBorders>
              <w:top w:val="nil"/>
              <w:bottom w:val="nil"/>
            </w:tcBorders>
          </w:tcPr>
          <w:p w14:paraId="74DEEFEB" w14:textId="77777777" w:rsidR="009C582C" w:rsidRPr="008D6AA6" w:rsidRDefault="009C582C" w:rsidP="009C582C">
            <w:pPr>
              <w:tabs>
                <w:tab w:val="clear" w:pos="2092"/>
                <w:tab w:val="clear" w:pos="4076"/>
              </w:tabs>
            </w:pPr>
          </w:p>
        </w:tc>
        <w:tc>
          <w:tcPr>
            <w:tcW w:w="3969" w:type="dxa"/>
          </w:tcPr>
          <w:p w14:paraId="27A71285" w14:textId="302F36D1" w:rsidR="009C582C" w:rsidRPr="008D6AA6" w:rsidRDefault="009C582C" w:rsidP="009C582C">
            <w:pPr>
              <w:tabs>
                <w:tab w:val="clear" w:pos="2092"/>
                <w:tab w:val="clear" w:pos="4076"/>
              </w:tabs>
            </w:pPr>
            <w:r w:rsidRPr="008D6AA6">
              <w:t>Forum considers outcomes</w:t>
            </w:r>
          </w:p>
        </w:tc>
      </w:tr>
      <w:tr w:rsidR="009C582C" w14:paraId="1467B1F0" w14:textId="77777777" w:rsidTr="00D3773C">
        <w:tc>
          <w:tcPr>
            <w:tcW w:w="426" w:type="dxa"/>
            <w:tcBorders>
              <w:top w:val="nil"/>
            </w:tcBorders>
          </w:tcPr>
          <w:p w14:paraId="267CF88A" w14:textId="77777777" w:rsidR="009C582C" w:rsidRDefault="009C582C" w:rsidP="009C582C"/>
        </w:tc>
        <w:tc>
          <w:tcPr>
            <w:tcW w:w="10914" w:type="dxa"/>
            <w:tcBorders>
              <w:top w:val="nil"/>
            </w:tcBorders>
          </w:tcPr>
          <w:p w14:paraId="235796AF" w14:textId="77777777" w:rsidR="009C582C" w:rsidRPr="008D6AA6" w:rsidRDefault="009C582C" w:rsidP="009C582C">
            <w:pPr>
              <w:tabs>
                <w:tab w:val="clear" w:pos="2092"/>
                <w:tab w:val="clear" w:pos="4076"/>
              </w:tabs>
            </w:pPr>
          </w:p>
        </w:tc>
        <w:tc>
          <w:tcPr>
            <w:tcW w:w="3969" w:type="dxa"/>
          </w:tcPr>
          <w:p w14:paraId="723C752A" w14:textId="39B7FD51" w:rsidR="009C582C" w:rsidRPr="008D6AA6" w:rsidRDefault="009C582C" w:rsidP="009C582C">
            <w:pPr>
              <w:tabs>
                <w:tab w:val="clear" w:pos="2092"/>
                <w:tab w:val="clear" w:pos="4076"/>
              </w:tabs>
            </w:pPr>
            <w:r w:rsidRPr="008D6AA6">
              <w:t>Implement outcome, including any legislative amendment (if required)</w:t>
            </w:r>
          </w:p>
        </w:tc>
      </w:tr>
      <w:tr w:rsidR="009C582C" w14:paraId="30315FCC" w14:textId="77777777" w:rsidTr="009C582C">
        <w:tc>
          <w:tcPr>
            <w:tcW w:w="426" w:type="dxa"/>
          </w:tcPr>
          <w:p w14:paraId="7134E189" w14:textId="77777777" w:rsidR="009C582C" w:rsidRPr="008D6AA6" w:rsidRDefault="009C582C" w:rsidP="009C582C">
            <w:pPr>
              <w:tabs>
                <w:tab w:val="clear" w:pos="2092"/>
                <w:tab w:val="clear" w:pos="4076"/>
              </w:tabs>
            </w:pPr>
            <w:r w:rsidRPr="008D6AA6">
              <w:t>24</w:t>
            </w:r>
          </w:p>
          <w:p w14:paraId="57186BFF" w14:textId="77777777" w:rsidR="009C582C" w:rsidRDefault="009C582C" w:rsidP="009C582C"/>
        </w:tc>
        <w:tc>
          <w:tcPr>
            <w:tcW w:w="10914" w:type="dxa"/>
          </w:tcPr>
          <w:p w14:paraId="5EF3FE76" w14:textId="6ED389EB" w:rsidR="009C582C" w:rsidRPr="008D6AA6" w:rsidRDefault="009C582C" w:rsidP="009C582C">
            <w:pPr>
              <w:tabs>
                <w:tab w:val="clear" w:pos="2092"/>
                <w:tab w:val="clear" w:pos="4076"/>
              </w:tabs>
            </w:pPr>
            <w:r w:rsidRPr="008D6AA6">
              <w:t>The Review recommends that the Gene Technology Regulator continue to lead communication activities on topics related to the assessment of risk associated with gene technology.</w:t>
            </w:r>
          </w:p>
        </w:tc>
        <w:tc>
          <w:tcPr>
            <w:tcW w:w="3969" w:type="dxa"/>
          </w:tcPr>
          <w:p w14:paraId="5175D320" w14:textId="77777777" w:rsidR="009C582C" w:rsidRPr="008D6AA6" w:rsidRDefault="009C582C" w:rsidP="009C582C">
            <w:pPr>
              <w:tabs>
                <w:tab w:val="clear" w:pos="2092"/>
                <w:tab w:val="clear" w:pos="4076"/>
              </w:tabs>
            </w:pPr>
          </w:p>
        </w:tc>
      </w:tr>
      <w:tr w:rsidR="009C582C" w14:paraId="5E27529F" w14:textId="77777777" w:rsidTr="009C582C">
        <w:tc>
          <w:tcPr>
            <w:tcW w:w="426" w:type="dxa"/>
          </w:tcPr>
          <w:p w14:paraId="25347684" w14:textId="10314B35" w:rsidR="009C582C" w:rsidRPr="008D6AA6" w:rsidRDefault="009C582C" w:rsidP="009C582C">
            <w:pPr>
              <w:tabs>
                <w:tab w:val="clear" w:pos="2092"/>
                <w:tab w:val="clear" w:pos="4076"/>
              </w:tabs>
            </w:pPr>
            <w:r w:rsidRPr="008D6AA6">
              <w:t>25</w:t>
            </w:r>
          </w:p>
        </w:tc>
        <w:tc>
          <w:tcPr>
            <w:tcW w:w="10914" w:type="dxa"/>
          </w:tcPr>
          <w:p w14:paraId="68B3699C" w14:textId="73795CD1" w:rsidR="009C582C" w:rsidRPr="008D6AA6" w:rsidRDefault="009C582C" w:rsidP="009C582C">
            <w:pPr>
              <w:tabs>
                <w:tab w:val="clear" w:pos="2092"/>
                <w:tab w:val="clear" w:pos="4076"/>
              </w:tabs>
            </w:pPr>
            <w:r w:rsidRPr="008D6AA6">
              <w:t xml:space="preserve">The Review recommends that the Gene Technology Regulator continue to identify and manage the risks posed by, or </w:t>
            </w:r>
            <w:proofErr w:type="gramStart"/>
            <w:r w:rsidRPr="008D6AA6">
              <w:t>as a result of</w:t>
            </w:r>
            <w:proofErr w:type="gramEnd"/>
            <w:r w:rsidRPr="008D6AA6">
              <w:t>, gene technology, and to increase transparency and understanding.</w:t>
            </w:r>
          </w:p>
        </w:tc>
        <w:tc>
          <w:tcPr>
            <w:tcW w:w="3969" w:type="dxa"/>
          </w:tcPr>
          <w:p w14:paraId="45E786B3" w14:textId="77777777" w:rsidR="009C582C" w:rsidRPr="008D6AA6" w:rsidRDefault="009C582C" w:rsidP="009C582C">
            <w:pPr>
              <w:tabs>
                <w:tab w:val="clear" w:pos="2092"/>
                <w:tab w:val="clear" w:pos="4076"/>
              </w:tabs>
            </w:pPr>
          </w:p>
        </w:tc>
      </w:tr>
      <w:tr w:rsidR="009C582C" w14:paraId="7ED38B62" w14:textId="77777777" w:rsidTr="009C582C">
        <w:tc>
          <w:tcPr>
            <w:tcW w:w="426" w:type="dxa"/>
          </w:tcPr>
          <w:p w14:paraId="271A1B29" w14:textId="07E57B69" w:rsidR="009C582C" w:rsidRPr="008D6AA6" w:rsidRDefault="009C582C" w:rsidP="009C582C">
            <w:pPr>
              <w:tabs>
                <w:tab w:val="clear" w:pos="2092"/>
                <w:tab w:val="clear" w:pos="4076"/>
              </w:tabs>
            </w:pPr>
            <w:r w:rsidRPr="008D6AA6">
              <w:t>27</w:t>
            </w:r>
          </w:p>
        </w:tc>
        <w:tc>
          <w:tcPr>
            <w:tcW w:w="10914" w:type="dxa"/>
          </w:tcPr>
          <w:p w14:paraId="2F90C9B0" w14:textId="1B983863" w:rsidR="009C582C" w:rsidRPr="008D6AA6" w:rsidRDefault="009C582C" w:rsidP="009C582C">
            <w:pPr>
              <w:tabs>
                <w:tab w:val="clear" w:pos="2092"/>
                <w:tab w:val="clear" w:pos="4076"/>
              </w:tabs>
            </w:pPr>
            <w:r w:rsidRPr="008D6AA6">
              <w:t>The Review recommends that the Gene Technology Regulator continue to make relevant information publicly available, to maintain a high level of transparency within the Scheme.</w:t>
            </w:r>
          </w:p>
        </w:tc>
        <w:tc>
          <w:tcPr>
            <w:tcW w:w="3969" w:type="dxa"/>
          </w:tcPr>
          <w:p w14:paraId="60963DF3" w14:textId="77777777" w:rsidR="009C582C" w:rsidRPr="008D6AA6" w:rsidRDefault="009C582C" w:rsidP="009C582C">
            <w:pPr>
              <w:tabs>
                <w:tab w:val="clear" w:pos="2092"/>
                <w:tab w:val="clear" w:pos="4076"/>
              </w:tabs>
            </w:pPr>
          </w:p>
        </w:tc>
      </w:tr>
    </w:tbl>
    <w:p w14:paraId="277E354F" w14:textId="77777777" w:rsidR="001644BC" w:rsidRDefault="001644BC" w:rsidP="007C2B4C">
      <w:pPr>
        <w:tabs>
          <w:tab w:val="clear" w:pos="2092"/>
          <w:tab w:val="clear" w:pos="4076"/>
        </w:tabs>
        <w:spacing w:after="0" w:line="241" w:lineRule="atLeast"/>
        <w:rPr>
          <w:rFonts w:ascii="Helvetica LT Std" w:hAnsi="Helvetica LT Std" w:cs="Helvetica LT Std"/>
          <w:b/>
          <w:bCs/>
          <w:color w:val="FFFFFF"/>
          <w:sz w:val="23"/>
          <w:szCs w:val="23"/>
        </w:rPr>
      </w:pPr>
    </w:p>
    <w:p w14:paraId="04369894" w14:textId="3D880D97" w:rsidR="001644BC" w:rsidRPr="001644BC" w:rsidRDefault="001644BC" w:rsidP="009C582C">
      <w:pPr>
        <w:pStyle w:val="Heading2"/>
      </w:pPr>
      <w:r w:rsidRPr="001644BC">
        <w:t>Outstanding Recommendations from 2011 Review of the Gene Technology Scheme</w:t>
      </w:r>
    </w:p>
    <w:tbl>
      <w:tblPr>
        <w:tblStyle w:val="TableGrid"/>
        <w:tblW w:w="15456" w:type="dxa"/>
        <w:tblInd w:w="-5" w:type="dxa"/>
        <w:tblBorders>
          <w:top w:val="none" w:sz="0" w:space="0" w:color="auto"/>
          <w:left w:val="none" w:sz="0" w:space="0" w:color="auto"/>
          <w:bottom w:val="none" w:sz="0" w:space="0" w:color="auto"/>
          <w:right w:val="none" w:sz="0" w:space="0" w:color="auto"/>
          <w:insideH w:val="single" w:sz="4" w:space="0" w:color="92D050"/>
          <w:insideV w:val="none" w:sz="0" w:space="0" w:color="auto"/>
        </w:tblBorders>
        <w:tblLook w:val="04A0" w:firstRow="1" w:lastRow="0" w:firstColumn="1" w:lastColumn="0" w:noHBand="0" w:noVBand="1"/>
        <w:tblCaption w:val="Table contains text on the forum action plan"/>
        <w:tblDescription w:val="Table contains text on the forum action plan"/>
      </w:tblPr>
      <w:tblGrid>
        <w:gridCol w:w="5392"/>
        <w:gridCol w:w="6520"/>
        <w:gridCol w:w="3544"/>
      </w:tblGrid>
      <w:tr w:rsidR="001644BC" w:rsidRPr="001644BC" w14:paraId="0B944F67" w14:textId="77777777" w:rsidTr="009C582C">
        <w:trPr>
          <w:trHeight w:val="142"/>
        </w:trPr>
        <w:tc>
          <w:tcPr>
            <w:tcW w:w="5392" w:type="dxa"/>
            <w:shd w:val="clear" w:color="auto" w:fill="008574"/>
          </w:tcPr>
          <w:p w14:paraId="26B6A450" w14:textId="77777777" w:rsidR="001644BC" w:rsidRPr="001644BC" w:rsidRDefault="001644BC" w:rsidP="001644BC">
            <w:pPr>
              <w:tabs>
                <w:tab w:val="clear" w:pos="2092"/>
                <w:tab w:val="clear" w:pos="4076"/>
              </w:tabs>
              <w:spacing w:after="0" w:line="241" w:lineRule="atLeast"/>
              <w:rPr>
                <w:rFonts w:ascii="Helvetica LT Std" w:hAnsi="Helvetica LT Std" w:cs="Helvetica LT Std"/>
                <w:color w:val="FFFFFF"/>
                <w:szCs w:val="23"/>
              </w:rPr>
            </w:pPr>
            <w:r w:rsidRPr="001644BC">
              <w:rPr>
                <w:rFonts w:ascii="Helvetica LT Std" w:hAnsi="Helvetica LT Std" w:cs="Helvetica LT Std"/>
                <w:b/>
                <w:bCs/>
                <w:color w:val="FFFFFF"/>
                <w:szCs w:val="23"/>
              </w:rPr>
              <w:t>Recommendations from 2011 Review</w:t>
            </w:r>
          </w:p>
        </w:tc>
        <w:tc>
          <w:tcPr>
            <w:tcW w:w="6520" w:type="dxa"/>
            <w:shd w:val="clear" w:color="auto" w:fill="008574"/>
          </w:tcPr>
          <w:p w14:paraId="47CA680E" w14:textId="77777777" w:rsidR="001644BC" w:rsidRPr="001644BC" w:rsidRDefault="001644BC" w:rsidP="001644BC">
            <w:pPr>
              <w:tabs>
                <w:tab w:val="clear" w:pos="2092"/>
                <w:tab w:val="clear" w:pos="4076"/>
              </w:tabs>
              <w:spacing w:after="0" w:line="241" w:lineRule="atLeast"/>
              <w:rPr>
                <w:rFonts w:ascii="Helvetica LT Std" w:hAnsi="Helvetica LT Std" w:cs="Helvetica LT Std"/>
                <w:color w:val="FFFFFF"/>
                <w:szCs w:val="23"/>
              </w:rPr>
            </w:pPr>
            <w:r w:rsidRPr="001644BC">
              <w:rPr>
                <w:rFonts w:ascii="Helvetica LT Std" w:hAnsi="Helvetica LT Std" w:cs="Helvetica LT Std"/>
                <w:b/>
                <w:bCs/>
                <w:color w:val="FFFFFF"/>
                <w:szCs w:val="23"/>
              </w:rPr>
              <w:t>Explanation</w:t>
            </w:r>
          </w:p>
        </w:tc>
        <w:tc>
          <w:tcPr>
            <w:tcW w:w="3544" w:type="dxa"/>
            <w:shd w:val="clear" w:color="auto" w:fill="008574"/>
          </w:tcPr>
          <w:p w14:paraId="3B06B681" w14:textId="77777777" w:rsidR="001644BC" w:rsidRPr="001644BC" w:rsidRDefault="001644BC" w:rsidP="001644BC">
            <w:pPr>
              <w:tabs>
                <w:tab w:val="clear" w:pos="2092"/>
                <w:tab w:val="clear" w:pos="4076"/>
              </w:tabs>
              <w:spacing w:after="0" w:line="241" w:lineRule="atLeast"/>
              <w:rPr>
                <w:rFonts w:ascii="Helvetica LT Std" w:hAnsi="Helvetica LT Std" w:cs="Helvetica LT Std"/>
                <w:color w:val="FFFFFF"/>
                <w:szCs w:val="23"/>
              </w:rPr>
            </w:pPr>
            <w:r w:rsidRPr="001644BC">
              <w:rPr>
                <w:rFonts w:ascii="Helvetica LT Std" w:hAnsi="Helvetica LT Std" w:cs="Helvetica LT Std"/>
                <w:b/>
                <w:bCs/>
                <w:color w:val="FFFFFF"/>
                <w:szCs w:val="23"/>
              </w:rPr>
              <w:t>Addressed by current Review</w:t>
            </w:r>
          </w:p>
        </w:tc>
      </w:tr>
      <w:tr w:rsidR="003B5E82" w:rsidRPr="001644BC" w14:paraId="7E61A2EE" w14:textId="77777777" w:rsidTr="009C582C">
        <w:trPr>
          <w:trHeight w:val="230"/>
        </w:trPr>
        <w:tc>
          <w:tcPr>
            <w:tcW w:w="5392" w:type="dxa"/>
          </w:tcPr>
          <w:p w14:paraId="53B6E268" w14:textId="77777777" w:rsidR="001644BC" w:rsidRPr="001644BC" w:rsidRDefault="001644BC" w:rsidP="001644BC">
            <w:pPr>
              <w:tabs>
                <w:tab w:val="clear" w:pos="2092"/>
                <w:tab w:val="clear" w:pos="4076"/>
              </w:tabs>
              <w:ind w:left="620" w:hanging="620"/>
            </w:pPr>
            <w:r w:rsidRPr="001644BC">
              <w:rPr>
                <w:rFonts w:ascii="Helvetica LT Std" w:hAnsi="Helvetica LT Std" w:cs="Helvetica LT Std"/>
                <w:b/>
                <w:bCs/>
                <w:color w:val="00509C"/>
              </w:rPr>
              <w:t xml:space="preserve">Rec 7: </w:t>
            </w:r>
            <w:r w:rsidRPr="001644BC">
              <w:t>The Ministerial Council review the definition of ‘dealings’ in the Act with a view to clarifying the scope of the regulatory scheme.</w:t>
            </w:r>
          </w:p>
        </w:tc>
        <w:tc>
          <w:tcPr>
            <w:tcW w:w="6520" w:type="dxa"/>
          </w:tcPr>
          <w:p w14:paraId="2A188E44" w14:textId="77777777" w:rsidR="001644BC" w:rsidRPr="001644BC" w:rsidRDefault="001644BC" w:rsidP="001644BC">
            <w:pPr>
              <w:tabs>
                <w:tab w:val="clear" w:pos="2092"/>
                <w:tab w:val="clear" w:pos="4076"/>
              </w:tabs>
            </w:pPr>
            <w:r w:rsidRPr="001644BC">
              <w:t>Current definition of GMO dealing is not adequate to cover all the matters addressed by the Act. There are regulatory gaps which could be addressed by reviewing definition of a ‘dealing’.</w:t>
            </w:r>
          </w:p>
        </w:tc>
        <w:tc>
          <w:tcPr>
            <w:tcW w:w="3544" w:type="dxa"/>
          </w:tcPr>
          <w:p w14:paraId="0B16A26B" w14:textId="77777777" w:rsidR="001644BC" w:rsidRPr="001644BC" w:rsidRDefault="001644BC" w:rsidP="001644BC">
            <w:pPr>
              <w:tabs>
                <w:tab w:val="clear" w:pos="2092"/>
                <w:tab w:val="clear" w:pos="4076"/>
              </w:tabs>
            </w:pPr>
            <w:r w:rsidRPr="001644BC">
              <w:t>Recommendations 4 and 6</w:t>
            </w:r>
          </w:p>
        </w:tc>
      </w:tr>
      <w:tr w:rsidR="003B5E82" w:rsidRPr="001644BC" w14:paraId="17381D23" w14:textId="77777777" w:rsidTr="009C582C">
        <w:trPr>
          <w:trHeight w:val="350"/>
        </w:trPr>
        <w:tc>
          <w:tcPr>
            <w:tcW w:w="5392" w:type="dxa"/>
          </w:tcPr>
          <w:p w14:paraId="02B49048" w14:textId="77777777" w:rsidR="001644BC" w:rsidRPr="001644BC" w:rsidRDefault="001644BC" w:rsidP="001644BC">
            <w:pPr>
              <w:tabs>
                <w:tab w:val="clear" w:pos="2092"/>
                <w:tab w:val="clear" w:pos="4076"/>
              </w:tabs>
              <w:ind w:left="620" w:hanging="620"/>
            </w:pPr>
            <w:r w:rsidRPr="001644BC">
              <w:rPr>
                <w:rFonts w:ascii="Helvetica LT Std" w:hAnsi="Helvetica LT Std" w:cs="Helvetica LT Std"/>
                <w:b/>
                <w:bCs/>
                <w:color w:val="00509C"/>
              </w:rPr>
              <w:t xml:space="preserve">Rec 8: </w:t>
            </w:r>
            <w:r w:rsidRPr="001644BC">
              <w:t>The Ministerial Council review the conditioning of GM products in the Act with a view to clarifying the scope of the regulatory scheme.</w:t>
            </w:r>
          </w:p>
        </w:tc>
        <w:tc>
          <w:tcPr>
            <w:tcW w:w="6520" w:type="dxa"/>
          </w:tcPr>
          <w:p w14:paraId="640FCB88" w14:textId="77777777" w:rsidR="001644BC" w:rsidRPr="001644BC" w:rsidRDefault="001644BC" w:rsidP="001644BC">
            <w:pPr>
              <w:tabs>
                <w:tab w:val="clear" w:pos="2092"/>
                <w:tab w:val="clear" w:pos="4076"/>
              </w:tabs>
            </w:pPr>
            <w:r w:rsidRPr="001644BC">
              <w:t>Currently there is no express legislative limit on the scope of conditions that can be placed on a GM product. The 2011 Review considered that the Regulator should have the power to put conditions on the use of a GM product where appropriate to meet objectives of the Act.</w:t>
            </w:r>
          </w:p>
        </w:tc>
        <w:tc>
          <w:tcPr>
            <w:tcW w:w="3544" w:type="dxa"/>
          </w:tcPr>
          <w:p w14:paraId="4D001525" w14:textId="77777777" w:rsidR="001644BC" w:rsidRPr="001644BC" w:rsidRDefault="001644BC" w:rsidP="001644BC">
            <w:pPr>
              <w:tabs>
                <w:tab w:val="clear" w:pos="2092"/>
                <w:tab w:val="clear" w:pos="4076"/>
              </w:tabs>
            </w:pPr>
            <w:r w:rsidRPr="001644BC">
              <w:t>Recommendations 7, 21 and 26</w:t>
            </w:r>
          </w:p>
        </w:tc>
      </w:tr>
      <w:tr w:rsidR="003B5E82" w:rsidRPr="001644BC" w14:paraId="3238FF06" w14:textId="77777777" w:rsidTr="009C582C">
        <w:trPr>
          <w:trHeight w:val="350"/>
        </w:trPr>
        <w:tc>
          <w:tcPr>
            <w:tcW w:w="5392" w:type="dxa"/>
          </w:tcPr>
          <w:p w14:paraId="5EC28262" w14:textId="77777777" w:rsidR="001644BC" w:rsidRPr="001644BC" w:rsidRDefault="001644BC" w:rsidP="001644BC">
            <w:pPr>
              <w:tabs>
                <w:tab w:val="clear" w:pos="2092"/>
                <w:tab w:val="clear" w:pos="4076"/>
              </w:tabs>
              <w:ind w:left="620" w:hanging="620"/>
            </w:pPr>
            <w:r w:rsidRPr="001644BC">
              <w:rPr>
                <w:rFonts w:ascii="Helvetica LT Std" w:hAnsi="Helvetica LT Std" w:cs="Helvetica LT Std"/>
                <w:b/>
                <w:bCs/>
                <w:color w:val="00509C"/>
              </w:rPr>
              <w:t xml:space="preserve">Rec 9: </w:t>
            </w:r>
            <w:r w:rsidRPr="001644BC">
              <w:t xml:space="preserve">The Department of Health and Ageing explore with the Attorney General’s Department and the Ministerial Council ways in which the process for amending the gene technology legislation could be streamlined. </w:t>
            </w:r>
          </w:p>
        </w:tc>
        <w:tc>
          <w:tcPr>
            <w:tcW w:w="6520" w:type="dxa"/>
          </w:tcPr>
          <w:p w14:paraId="6710CC0E" w14:textId="77777777" w:rsidR="001644BC" w:rsidRPr="001644BC" w:rsidRDefault="001644BC" w:rsidP="001644BC">
            <w:pPr>
              <w:tabs>
                <w:tab w:val="clear" w:pos="2092"/>
                <w:tab w:val="clear" w:pos="4076"/>
              </w:tabs>
            </w:pPr>
            <w:r w:rsidRPr="001644BC">
              <w:t xml:space="preserve">The Review was concerned that new technologies and existing technologies considered to have a history of safe use, are </w:t>
            </w:r>
            <w:proofErr w:type="gramStart"/>
            <w:r w:rsidRPr="001644BC">
              <w:t>classified</w:t>
            </w:r>
            <w:proofErr w:type="gramEnd"/>
            <w:r w:rsidRPr="001644BC">
              <w:t xml:space="preserve"> and dealt with in the same way. More flexibility is needed to allow the Regulator the ability to address these technologies in a </w:t>
            </w:r>
            <w:proofErr w:type="gramStart"/>
            <w:r w:rsidRPr="001644BC">
              <w:t>more timely</w:t>
            </w:r>
            <w:proofErr w:type="gramEnd"/>
            <w:r w:rsidRPr="001644BC">
              <w:t xml:space="preserve"> manner.</w:t>
            </w:r>
          </w:p>
        </w:tc>
        <w:tc>
          <w:tcPr>
            <w:tcW w:w="3544" w:type="dxa"/>
          </w:tcPr>
          <w:p w14:paraId="0A7128DB" w14:textId="77777777" w:rsidR="001644BC" w:rsidRPr="001644BC" w:rsidRDefault="001644BC" w:rsidP="001644BC">
            <w:pPr>
              <w:tabs>
                <w:tab w:val="clear" w:pos="2092"/>
                <w:tab w:val="clear" w:pos="4076"/>
              </w:tabs>
            </w:pPr>
            <w:r w:rsidRPr="001644BC">
              <w:t>Recommendations 9 and 21</w:t>
            </w:r>
          </w:p>
        </w:tc>
      </w:tr>
    </w:tbl>
    <w:p w14:paraId="7DD1F922" w14:textId="77777777" w:rsidR="002654BC" w:rsidRPr="00B753F1" w:rsidRDefault="002654BC" w:rsidP="00850D97"/>
    <w:sectPr w:rsidR="002654BC" w:rsidRPr="00B753F1" w:rsidSect="005A1FA5">
      <w:type w:val="continuous"/>
      <w:pgSz w:w="16840" w:h="1190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1BB72" w14:textId="77777777" w:rsidR="00C45679" w:rsidRDefault="00C45679" w:rsidP="00850D97">
      <w:r>
        <w:separator/>
      </w:r>
    </w:p>
  </w:endnote>
  <w:endnote w:type="continuationSeparator" w:id="0">
    <w:p w14:paraId="46EC193D" w14:textId="77777777" w:rsidR="00C45679" w:rsidRDefault="00C45679" w:rsidP="0085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LT Std">
    <w:altName w:val="Arial"/>
    <w:panose1 w:val="00000000000000000000"/>
    <w:charset w:val="4D"/>
    <w:family w:val="swiss"/>
    <w:notTrueType/>
    <w:pitch w:val="variable"/>
    <w:sig w:usb0="00000001" w:usb1="00000000" w:usb2="00000000" w:usb3="00000000" w:csb0="00000005"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Malgun Gothic"/>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82550" w14:textId="77777777" w:rsidR="00C45679" w:rsidRDefault="00C45679" w:rsidP="00850D97">
      <w:r>
        <w:separator/>
      </w:r>
    </w:p>
  </w:footnote>
  <w:footnote w:type="continuationSeparator" w:id="0">
    <w:p w14:paraId="0678A334" w14:textId="77777777" w:rsidR="00C45679" w:rsidRDefault="00C45679" w:rsidP="00850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26537C"/>
    <w:multiLevelType w:val="hybridMultilevel"/>
    <w:tmpl w:val="4F045A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136DCA"/>
    <w:multiLevelType w:val="hybridMultilevel"/>
    <w:tmpl w:val="61F21572"/>
    <w:lvl w:ilvl="0" w:tplc="41945E1A">
      <w:start w:val="1"/>
      <w:numFmt w:val="lowerLetter"/>
      <w:lvlText w:val="%1)"/>
      <w:lvlJc w:val="left"/>
      <w:pPr>
        <w:ind w:left="720" w:hanging="360"/>
      </w:pPr>
      <w:rPr>
        <w:rFonts w:ascii="Helvetica LT Std" w:hAnsi="Helvetica LT Std" w:cs="Helvetica LT Std" w:hint="default"/>
        <w:b/>
        <w:color w:val="00509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66F1F"/>
    <w:multiLevelType w:val="hybridMultilevel"/>
    <w:tmpl w:val="DC66E0F0"/>
    <w:lvl w:ilvl="0" w:tplc="193EE188">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D2C7F"/>
    <w:multiLevelType w:val="hybridMultilevel"/>
    <w:tmpl w:val="8A5EC1F0"/>
    <w:lvl w:ilvl="0" w:tplc="04090001">
      <w:start w:val="1"/>
      <w:numFmt w:val="bullet"/>
      <w:lvlText w:val=""/>
      <w:lvlJc w:val="left"/>
      <w:pPr>
        <w:ind w:left="468" w:hanging="360"/>
      </w:pPr>
      <w:rPr>
        <w:rFonts w:ascii="Symbol" w:hAnsi="Symbol" w:hint="default"/>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2F5878BA"/>
    <w:multiLevelType w:val="hybridMultilevel"/>
    <w:tmpl w:val="B2E474E4"/>
    <w:lvl w:ilvl="0" w:tplc="41945E1A">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E61DC"/>
    <w:multiLevelType w:val="hybridMultilevel"/>
    <w:tmpl w:val="61F21572"/>
    <w:lvl w:ilvl="0" w:tplc="41945E1A">
      <w:start w:val="1"/>
      <w:numFmt w:val="lowerLetter"/>
      <w:lvlText w:val="%1)"/>
      <w:lvlJc w:val="left"/>
      <w:pPr>
        <w:ind w:left="720" w:hanging="360"/>
      </w:pPr>
      <w:rPr>
        <w:rFonts w:ascii="Helvetica LT Std" w:hAnsi="Helvetica LT Std" w:cs="Helvetica LT Std" w:hint="default"/>
        <w:b/>
        <w:color w:val="00509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178F4"/>
    <w:multiLevelType w:val="hybridMultilevel"/>
    <w:tmpl w:val="DCD2E1DC"/>
    <w:lvl w:ilvl="0" w:tplc="8C3A3334">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CD098D"/>
    <w:multiLevelType w:val="hybridMultilevel"/>
    <w:tmpl w:val="5D749BA4"/>
    <w:lvl w:ilvl="0" w:tplc="E2F09494">
      <w:start w:val="1"/>
      <w:numFmt w:val="lowerLetter"/>
      <w:lvlText w:val="%1)"/>
      <w:lvlJc w:val="left"/>
      <w:pPr>
        <w:ind w:left="360" w:hanging="360"/>
      </w:pPr>
      <w:rPr>
        <w:rFonts w:ascii="Helvetica LT Std" w:hAnsi="Helvetica LT Std" w:cs="Helvetica LT Std" w:hint="default"/>
        <w:b/>
        <w:color w:val="00509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DB3669"/>
    <w:multiLevelType w:val="hybridMultilevel"/>
    <w:tmpl w:val="3954D05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6"/>
  </w:num>
  <w:num w:numId="5">
    <w:abstractNumId w:val="0"/>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F1"/>
    <w:rsid w:val="000779DE"/>
    <w:rsid w:val="001644BC"/>
    <w:rsid w:val="001B08D8"/>
    <w:rsid w:val="002654BC"/>
    <w:rsid w:val="002F1F7C"/>
    <w:rsid w:val="003B5E82"/>
    <w:rsid w:val="003E2B59"/>
    <w:rsid w:val="00520EBC"/>
    <w:rsid w:val="005A1FA5"/>
    <w:rsid w:val="00850D97"/>
    <w:rsid w:val="008D6AA6"/>
    <w:rsid w:val="00921F38"/>
    <w:rsid w:val="00967ECD"/>
    <w:rsid w:val="009C582C"/>
    <w:rsid w:val="00B20937"/>
    <w:rsid w:val="00B54247"/>
    <w:rsid w:val="00B753F1"/>
    <w:rsid w:val="00C45679"/>
    <w:rsid w:val="00D3773C"/>
    <w:rsid w:val="00F42E00"/>
    <w:rsid w:val="00FD6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194C"/>
  <w15:docId w15:val="{F744D5CE-FD76-463D-8E04-95556D2C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97"/>
    <w:pPr>
      <w:tabs>
        <w:tab w:val="left" w:pos="2092"/>
        <w:tab w:val="left" w:pos="4076"/>
      </w:tabs>
      <w:autoSpaceDE w:val="0"/>
      <w:autoSpaceDN w:val="0"/>
      <w:adjustRightInd w:val="0"/>
      <w:spacing w:after="40" w:line="181" w:lineRule="atLeast"/>
    </w:pPr>
    <w:rPr>
      <w:rFonts w:ascii="Helvetica LT Std Light" w:hAnsi="Helvetica LT Std Light" w:cs="Helvetica LT Std Light"/>
      <w:color w:val="000000"/>
      <w:sz w:val="18"/>
      <w:szCs w:val="18"/>
      <w:lang w:val="en-GB"/>
    </w:rPr>
  </w:style>
  <w:style w:type="paragraph" w:styleId="Heading1">
    <w:name w:val="heading 1"/>
    <w:basedOn w:val="Normal"/>
    <w:next w:val="Normal"/>
    <w:link w:val="Heading1Char"/>
    <w:uiPriority w:val="9"/>
    <w:qFormat/>
    <w:rsid w:val="003B5E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582C"/>
    <w:pPr>
      <w:shd w:val="clear" w:color="auto" w:fill="00509C"/>
      <w:tabs>
        <w:tab w:val="clear" w:pos="2092"/>
        <w:tab w:val="clear" w:pos="4076"/>
      </w:tabs>
      <w:spacing w:after="0" w:line="241" w:lineRule="atLeast"/>
      <w:outlineLvl w:val="1"/>
    </w:pPr>
    <w:rPr>
      <w:rFonts w:ascii="Helvetica LT Std" w:hAnsi="Helvetica LT Std" w:cs="Helvetica LT Std"/>
      <w:b/>
      <w:bCs/>
      <w:color w:val="FFFFF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3F1"/>
    <w:pPr>
      <w:autoSpaceDE w:val="0"/>
      <w:autoSpaceDN w:val="0"/>
      <w:adjustRightInd w:val="0"/>
    </w:pPr>
    <w:rPr>
      <w:rFonts w:ascii="Helvetica LT Std" w:hAnsi="Helvetica LT Std" w:cs="Helvetica LT Std"/>
      <w:color w:val="000000"/>
      <w:lang w:val="en-US"/>
    </w:rPr>
  </w:style>
  <w:style w:type="character" w:customStyle="1" w:styleId="A0">
    <w:name w:val="A0"/>
    <w:uiPriority w:val="99"/>
    <w:rsid w:val="00B753F1"/>
    <w:rPr>
      <w:rFonts w:cs="Helvetica LT Std"/>
      <w:b/>
      <w:bCs/>
      <w:color w:val="008574"/>
      <w:sz w:val="65"/>
      <w:szCs w:val="65"/>
    </w:rPr>
  </w:style>
  <w:style w:type="paragraph" w:customStyle="1" w:styleId="Pa4">
    <w:name w:val="Pa4"/>
    <w:basedOn w:val="Default"/>
    <w:next w:val="Default"/>
    <w:uiPriority w:val="99"/>
    <w:rsid w:val="00B753F1"/>
    <w:pPr>
      <w:spacing w:line="181" w:lineRule="atLeast"/>
    </w:pPr>
    <w:rPr>
      <w:rFonts w:cstheme="minorBidi"/>
      <w:color w:val="auto"/>
    </w:rPr>
  </w:style>
  <w:style w:type="paragraph" w:customStyle="1" w:styleId="Pa2">
    <w:name w:val="Pa2"/>
    <w:basedOn w:val="Default"/>
    <w:next w:val="Default"/>
    <w:uiPriority w:val="99"/>
    <w:rsid w:val="00B753F1"/>
    <w:pPr>
      <w:spacing w:line="241" w:lineRule="atLeast"/>
    </w:pPr>
    <w:rPr>
      <w:rFonts w:cstheme="minorBidi"/>
      <w:color w:val="auto"/>
    </w:rPr>
  </w:style>
  <w:style w:type="paragraph" w:customStyle="1" w:styleId="Pa3">
    <w:name w:val="Pa3"/>
    <w:basedOn w:val="Default"/>
    <w:next w:val="Default"/>
    <w:uiPriority w:val="99"/>
    <w:rsid w:val="00B753F1"/>
    <w:pPr>
      <w:spacing w:line="241" w:lineRule="atLeast"/>
    </w:pPr>
    <w:rPr>
      <w:rFonts w:cstheme="minorBidi"/>
      <w:color w:val="auto"/>
    </w:rPr>
  </w:style>
  <w:style w:type="paragraph" w:customStyle="1" w:styleId="Pa5">
    <w:name w:val="Pa5"/>
    <w:basedOn w:val="Default"/>
    <w:next w:val="Default"/>
    <w:uiPriority w:val="99"/>
    <w:rsid w:val="00B753F1"/>
    <w:pPr>
      <w:spacing w:line="181" w:lineRule="atLeast"/>
    </w:pPr>
    <w:rPr>
      <w:rFonts w:cstheme="minorBidi"/>
      <w:color w:val="auto"/>
    </w:rPr>
  </w:style>
  <w:style w:type="paragraph" w:customStyle="1" w:styleId="Pa6">
    <w:name w:val="Pa6"/>
    <w:basedOn w:val="Default"/>
    <w:next w:val="Default"/>
    <w:uiPriority w:val="99"/>
    <w:rsid w:val="00B753F1"/>
    <w:pPr>
      <w:spacing w:line="181" w:lineRule="atLeast"/>
    </w:pPr>
    <w:rPr>
      <w:rFonts w:cstheme="minorBidi"/>
      <w:color w:val="auto"/>
    </w:rPr>
  </w:style>
  <w:style w:type="table" w:customStyle="1" w:styleId="PlainTable21">
    <w:name w:val="Plain Table 21"/>
    <w:basedOn w:val="TableNormal"/>
    <w:uiPriority w:val="42"/>
    <w:rsid w:val="00B753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753F1"/>
    <w:pPr>
      <w:tabs>
        <w:tab w:val="center" w:pos="4680"/>
        <w:tab w:val="right" w:pos="9360"/>
      </w:tabs>
    </w:pPr>
  </w:style>
  <w:style w:type="character" w:customStyle="1" w:styleId="HeaderChar">
    <w:name w:val="Header Char"/>
    <w:basedOn w:val="DefaultParagraphFont"/>
    <w:link w:val="Header"/>
    <w:uiPriority w:val="99"/>
    <w:rsid w:val="00B753F1"/>
  </w:style>
  <w:style w:type="paragraph" w:styleId="Footer">
    <w:name w:val="footer"/>
    <w:basedOn w:val="Normal"/>
    <w:link w:val="FooterChar"/>
    <w:uiPriority w:val="99"/>
    <w:unhideWhenUsed/>
    <w:rsid w:val="00B753F1"/>
    <w:pPr>
      <w:tabs>
        <w:tab w:val="center" w:pos="4680"/>
        <w:tab w:val="right" w:pos="9360"/>
      </w:tabs>
    </w:pPr>
  </w:style>
  <w:style w:type="character" w:customStyle="1" w:styleId="FooterChar">
    <w:name w:val="Footer Char"/>
    <w:basedOn w:val="DefaultParagraphFont"/>
    <w:link w:val="Footer"/>
    <w:uiPriority w:val="99"/>
    <w:rsid w:val="00B753F1"/>
  </w:style>
  <w:style w:type="table" w:styleId="TableGrid">
    <w:name w:val="Table Grid"/>
    <w:basedOn w:val="TableNormal"/>
    <w:uiPriority w:val="39"/>
    <w:rsid w:val="00B7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3F1"/>
    <w:pPr>
      <w:ind w:left="720"/>
      <w:contextualSpacing/>
    </w:pPr>
  </w:style>
  <w:style w:type="paragraph" w:styleId="BalloonText">
    <w:name w:val="Balloon Text"/>
    <w:basedOn w:val="Normal"/>
    <w:link w:val="BalloonTextChar"/>
    <w:uiPriority w:val="99"/>
    <w:semiHidden/>
    <w:unhideWhenUsed/>
    <w:rsid w:val="00850D97"/>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850D97"/>
    <w:rPr>
      <w:rFonts w:ascii="Times New Roman" w:hAnsi="Times New Roman" w:cs="Times New Roman"/>
      <w:color w:val="000000"/>
      <w:sz w:val="18"/>
      <w:szCs w:val="18"/>
      <w:lang w:val="en-US"/>
    </w:rPr>
  </w:style>
  <w:style w:type="paragraph" w:customStyle="1" w:styleId="Pa12">
    <w:name w:val="Pa12"/>
    <w:basedOn w:val="Default"/>
    <w:next w:val="Default"/>
    <w:uiPriority w:val="99"/>
    <w:rsid w:val="001644BC"/>
    <w:pPr>
      <w:spacing w:line="181" w:lineRule="atLeast"/>
    </w:pPr>
    <w:rPr>
      <w:rFonts w:cstheme="minorBidi"/>
      <w:color w:val="auto"/>
    </w:rPr>
  </w:style>
  <w:style w:type="character" w:customStyle="1" w:styleId="Heading1Char">
    <w:name w:val="Heading 1 Char"/>
    <w:basedOn w:val="DefaultParagraphFont"/>
    <w:link w:val="Heading1"/>
    <w:uiPriority w:val="9"/>
    <w:rsid w:val="003B5E8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9C582C"/>
    <w:rPr>
      <w:rFonts w:ascii="Helvetica LT Std" w:hAnsi="Helvetica LT Std" w:cs="Helvetica LT Std"/>
      <w:b/>
      <w:bCs/>
      <w:color w:val="FFFFFF"/>
      <w:sz w:val="23"/>
      <w:szCs w:val="23"/>
      <w:shd w:val="clear" w:color="auto" w:fill="00509C"/>
      <w:lang w:val="en-US"/>
    </w:rPr>
  </w:style>
  <w:style w:type="paragraph" w:styleId="Title">
    <w:name w:val="Title"/>
    <w:basedOn w:val="Heading1"/>
    <w:next w:val="Normal"/>
    <w:link w:val="TitleChar"/>
    <w:uiPriority w:val="10"/>
    <w:qFormat/>
    <w:rsid w:val="009C582C"/>
    <w:rPr>
      <w:b/>
      <w:color w:val="008574"/>
      <w:sz w:val="48"/>
    </w:rPr>
  </w:style>
  <w:style w:type="character" w:customStyle="1" w:styleId="TitleChar">
    <w:name w:val="Title Char"/>
    <w:basedOn w:val="DefaultParagraphFont"/>
    <w:link w:val="Title"/>
    <w:uiPriority w:val="10"/>
    <w:rsid w:val="009C582C"/>
    <w:rPr>
      <w:rFonts w:asciiTheme="majorHAnsi" w:eastAsiaTheme="majorEastAsia" w:hAnsiTheme="majorHAnsi" w:cstheme="majorBidi"/>
      <w:b/>
      <w:color w:val="008574"/>
      <w:sz w:val="48"/>
      <w:szCs w:val="32"/>
      <w:lang w:val="en-US"/>
    </w:rPr>
  </w:style>
  <w:style w:type="paragraph" w:styleId="Subtitle">
    <w:name w:val="Subtitle"/>
    <w:basedOn w:val="Heading1"/>
    <w:next w:val="Normal"/>
    <w:link w:val="SubtitleChar"/>
    <w:uiPriority w:val="11"/>
    <w:qFormat/>
    <w:rsid w:val="005A1FA5"/>
    <w:rPr>
      <w:b/>
      <w:color w:val="000000" w:themeColor="text1"/>
    </w:rPr>
  </w:style>
  <w:style w:type="character" w:customStyle="1" w:styleId="SubtitleChar">
    <w:name w:val="Subtitle Char"/>
    <w:basedOn w:val="DefaultParagraphFont"/>
    <w:link w:val="Subtitle"/>
    <w:uiPriority w:val="11"/>
    <w:rsid w:val="005A1FA5"/>
    <w:rPr>
      <w:rFonts w:asciiTheme="majorHAnsi" w:eastAsiaTheme="majorEastAsia" w:hAnsiTheme="majorHAnsi" w:cstheme="majorBidi"/>
      <w:b/>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4872-8068-4CD3-8FB5-FA411B6517F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0EDE56DA-FED8-48BB-B8B1-BA422A3650F9}">
  <ds:schemaRefs>
    <ds:schemaRef ds:uri="http://schemas.microsoft.com/sharepoint/v3/contenttype/forms"/>
  </ds:schemaRefs>
</ds:datastoreItem>
</file>

<file path=customXml/itemProps3.xml><?xml version="1.0" encoding="utf-8"?>
<ds:datastoreItem xmlns:ds="http://schemas.openxmlformats.org/officeDocument/2006/customXml" ds:itemID="{2AB8AC6F-3C24-4303-BA95-E7EF717A9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66D7B-52B5-4309-8952-5621A0CE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Legislative and Governance Forum on Gene Technology Forum Action Plan 2018–2023</vt:lpstr>
    </vt:vector>
  </TitlesOfParts>
  <Company/>
  <LinksUpToDate>false</LinksUpToDate>
  <CharactersWithSpaces>15000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review – Action plan 2018–2023</dc:title>
  <dc:subject>Gene technology</dc:subject>
  <dc:creator>National Gene Technology Scheme</dc:creator>
  <cp:keywords>Third review</cp:keywords>
  <cp:lastModifiedBy>MCCAY, Meryl</cp:lastModifiedBy>
  <cp:revision>3</cp:revision>
  <cp:lastPrinted>2018-11-18T23:13:00Z</cp:lastPrinted>
  <dcterms:created xsi:type="dcterms:W3CDTF">2018-11-19T21:01:00Z</dcterms:created>
  <dcterms:modified xsi:type="dcterms:W3CDTF">2022-02-14T06:00:00Z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