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AAD04" w14:textId="403929A3" w:rsidR="002C1026" w:rsidRPr="009E410C" w:rsidRDefault="00FF6F87" w:rsidP="009E410C">
      <w:pPr>
        <w:jc w:val="center"/>
        <w:rPr>
          <w:rFonts w:ascii="Times New Roman"/>
          <w:b/>
          <w:bCs/>
          <w:color w:val="00635B"/>
        </w:rPr>
      </w:pPr>
      <w:r w:rsidRPr="009E410C">
        <w:rPr>
          <w:b/>
          <w:bCs/>
          <w:color w:val="00635B"/>
        </w:rPr>
        <w:t xml:space="preserve">National Gene Technology Scheme </w:t>
      </w:r>
      <w:r w:rsidR="009E410C" w:rsidRPr="009E410C">
        <w:rPr>
          <w:b/>
          <w:bCs/>
          <w:color w:val="00635B"/>
        </w:rPr>
        <w:t>–</w:t>
      </w:r>
      <w:r w:rsidRPr="009E410C">
        <w:rPr>
          <w:b/>
          <w:bCs/>
          <w:color w:val="00635B"/>
        </w:rPr>
        <w:t xml:space="preserve"> An Australian, State and Territory Government Collaboration</w:t>
      </w:r>
    </w:p>
    <w:p w14:paraId="1131839B" w14:textId="3E14193B" w:rsidR="002C1026" w:rsidRPr="00FF6F87" w:rsidRDefault="002B5024" w:rsidP="009E410C">
      <w:pPr>
        <w:pStyle w:val="Heading1"/>
      </w:pPr>
      <w:r w:rsidRPr="00FF6F87">
        <w:t>Forum Action Plan</w:t>
      </w:r>
      <w:r w:rsidR="00FF6F87" w:rsidRPr="00FF6F87">
        <w:t xml:space="preserve"> </w:t>
      </w:r>
      <w:r w:rsidR="00437E2B">
        <w:t>–</w:t>
      </w:r>
      <w:r w:rsidR="00FF6F87" w:rsidRPr="00FF6F87">
        <w:t xml:space="preserve"> Implementation Strategy</w:t>
      </w:r>
    </w:p>
    <w:p w14:paraId="162D58E3" w14:textId="45D9CBE5" w:rsidR="002C1026" w:rsidRPr="009E410C" w:rsidRDefault="002B5024" w:rsidP="009E410C">
      <w:pPr>
        <w:jc w:val="center"/>
        <w:rPr>
          <w:b/>
          <w:bCs/>
          <w:color w:val="00635B"/>
        </w:rPr>
      </w:pPr>
      <w:r w:rsidRPr="009E410C">
        <w:rPr>
          <w:b/>
          <w:bCs/>
          <w:color w:val="00635B"/>
        </w:rPr>
        <w:t>Oversighted by the Gene Technology Standing Committee</w:t>
      </w:r>
    </w:p>
    <w:p w14:paraId="64B7BE66" w14:textId="12EE91E6" w:rsidR="00FF6F87" w:rsidRPr="00437E2B" w:rsidRDefault="00FF6F87" w:rsidP="009E410C">
      <w:pPr>
        <w:ind w:left="720"/>
        <w:rPr>
          <w:b/>
          <w:bCs/>
        </w:rPr>
      </w:pPr>
      <w:r w:rsidRPr="00437E2B">
        <w:rPr>
          <w:b/>
          <w:bCs/>
        </w:rPr>
        <w:t>The purpose of this document is to provide a high</w:t>
      </w:r>
      <w:r w:rsidR="00437E2B" w:rsidRPr="00437E2B">
        <w:rPr>
          <w:b/>
          <w:bCs/>
        </w:rPr>
        <w:t>-</w:t>
      </w:r>
      <w:r w:rsidRPr="00437E2B">
        <w:rPr>
          <w:b/>
          <w:bCs/>
        </w:rPr>
        <w:t>level annual strategy for implementing the Legislative and Governance Forum on Gene Technology’ s (the Forum) Action Plan.</w:t>
      </w:r>
    </w:p>
    <w:p w14:paraId="4FFD0769" w14:textId="77777777" w:rsidR="002C1026" w:rsidRDefault="002B5024" w:rsidP="00437E2B">
      <w:r>
        <w:t>The Third Review of the National Gene Technology Scheme was undertaken by all Australian Governments.</w:t>
      </w:r>
    </w:p>
    <w:p w14:paraId="391217D8" w14:textId="77777777" w:rsidR="002C1026" w:rsidRDefault="002B5024" w:rsidP="00437E2B">
      <w:r>
        <w:t>On 11 October 2018, all governments, through the Forum, endorsed the Final Review Report (the Report).</w:t>
      </w:r>
    </w:p>
    <w:p w14:paraId="06298500" w14:textId="77777777" w:rsidR="002C1026" w:rsidRDefault="002B5024" w:rsidP="00437E2B">
      <w:r>
        <w:t>The Report outlines 27 recommendations addressing technical, regulatory, governance, social and ethical issues.</w:t>
      </w:r>
    </w:p>
    <w:p w14:paraId="01E00814" w14:textId="77777777" w:rsidR="002C1026" w:rsidRDefault="002B5024" w:rsidP="00437E2B">
      <w:r>
        <w:t>These recommendations provide opportunities for reduced regulatory burden on industry through streamlined and risk-based regulation, while protecting the health and safety of humans and the environment.</w:t>
      </w:r>
    </w:p>
    <w:p w14:paraId="0AA287CA" w14:textId="77777777" w:rsidR="002C1026" w:rsidRDefault="002B5024" w:rsidP="00437E2B">
      <w:r>
        <w:t>In October 2018, the Forum also agreed to an Action Plan to implement the recommendations</w:t>
      </w:r>
      <w:r>
        <w:rPr>
          <w:spacing w:val="-18"/>
        </w:rPr>
        <w:t xml:space="preserve"> </w:t>
      </w:r>
      <w:r>
        <w:t xml:space="preserve">over the short, </w:t>
      </w:r>
      <w:proofErr w:type="gramStart"/>
      <w:r>
        <w:t>medium</w:t>
      </w:r>
      <w:proofErr w:type="gramEnd"/>
      <w:r>
        <w:t xml:space="preserve"> and long</w:t>
      </w:r>
      <w:r>
        <w:rPr>
          <w:spacing w:val="-3"/>
        </w:rPr>
        <w:t xml:space="preserve"> </w:t>
      </w:r>
      <w:r>
        <w:t>term.</w:t>
      </w:r>
    </w:p>
    <w:p w14:paraId="183FFD6B" w14:textId="77777777" w:rsidR="002C1026" w:rsidRDefault="002B5024" w:rsidP="00437E2B">
      <w:r>
        <w:t>The Action Plan demonstrates governments’ commitment to overseeing and, where necessary, updating the Scheme, to ensure it can manage any risks that gene technology may pose to people and the environment.</w:t>
      </w:r>
    </w:p>
    <w:p w14:paraId="47DF8A55" w14:textId="77777777" w:rsidR="00FF6F87" w:rsidRPr="00437E2B" w:rsidRDefault="00FF6F87" w:rsidP="00437E2B">
      <w:pPr>
        <w:ind w:left="720"/>
        <w:rPr>
          <w:b/>
          <w:bCs/>
        </w:rPr>
      </w:pPr>
      <w:r w:rsidRPr="00437E2B">
        <w:rPr>
          <w:b/>
          <w:bCs/>
        </w:rPr>
        <w:t xml:space="preserve">The Forum’s Action Plan is a </w:t>
      </w:r>
      <w:proofErr w:type="gramStart"/>
      <w:r w:rsidRPr="00437E2B">
        <w:rPr>
          <w:b/>
          <w:bCs/>
        </w:rPr>
        <w:t>five year</w:t>
      </w:r>
      <w:proofErr w:type="gramEnd"/>
      <w:r w:rsidRPr="00437E2B">
        <w:rPr>
          <w:b/>
          <w:bCs/>
        </w:rPr>
        <w:t xml:space="preserve"> plan that is reviewed annually to identify priorities. This document seeks to provide clarity about the approach to progress the implementation of prioritised recommendations.</w:t>
      </w:r>
    </w:p>
    <w:p w14:paraId="2F8180F8" w14:textId="1EBDAE06" w:rsidR="002C1026" w:rsidRDefault="002B5024" w:rsidP="00437E2B">
      <w:pPr>
        <w:pStyle w:val="Heading2"/>
      </w:pPr>
      <w:r>
        <w:t>Governance:</w:t>
      </w:r>
    </w:p>
    <w:p w14:paraId="163D880F" w14:textId="77777777" w:rsidR="002C1026" w:rsidRDefault="002B5024" w:rsidP="00437E2B">
      <w:r>
        <w:t>The Gene Technology Standing Committee (GTSC)</w:t>
      </w:r>
    </w:p>
    <w:p w14:paraId="51995262" w14:textId="77777777" w:rsidR="002C1026" w:rsidRDefault="002B5024" w:rsidP="00437E2B">
      <w:r>
        <w:t xml:space="preserve">- the senior </w:t>
      </w:r>
      <w:proofErr w:type="gramStart"/>
      <w:r>
        <w:t>officials</w:t>
      </w:r>
      <w:proofErr w:type="gramEnd"/>
      <w:r>
        <w:t xml:space="preserve"> group with representation from all jurisdictions supporting the Forum - will oversee implementation of the Action Plan referring</w:t>
      </w:r>
      <w:r>
        <w:rPr>
          <w:spacing w:val="-28"/>
        </w:rPr>
        <w:t xml:space="preserve"> </w:t>
      </w:r>
      <w:r>
        <w:t>matters back to the Forum as</w:t>
      </w:r>
      <w:r>
        <w:rPr>
          <w:spacing w:val="-3"/>
        </w:rPr>
        <w:t xml:space="preserve"> </w:t>
      </w:r>
      <w:r>
        <w:t>required.</w:t>
      </w:r>
    </w:p>
    <w:p w14:paraId="01FA5684" w14:textId="77777777" w:rsidR="002C1026" w:rsidRDefault="002B5024" w:rsidP="00437E2B">
      <w:r>
        <w:t>An independent Expert Reference Panel will also be established to provide advice on specific areas of expertise as required.</w:t>
      </w:r>
    </w:p>
    <w:p w14:paraId="7BD5C26B" w14:textId="77777777" w:rsidR="002C1026" w:rsidRDefault="002B5024" w:rsidP="00437E2B">
      <w:pPr>
        <w:pStyle w:val="Heading2"/>
      </w:pPr>
      <w:r>
        <w:t>Action Plan Priorities for 2019:</w:t>
      </w:r>
    </w:p>
    <w:p w14:paraId="5290731D" w14:textId="77777777" w:rsidR="002C1026" w:rsidRDefault="002B5024" w:rsidP="00437E2B">
      <w:r>
        <w:t xml:space="preserve">The Action Plan has prioritised the implementation of recommendations based on urgency, </w:t>
      </w:r>
      <w:proofErr w:type="gramStart"/>
      <w:r>
        <w:t>interdependencies</w:t>
      </w:r>
      <w:proofErr w:type="gramEnd"/>
      <w:r>
        <w:t xml:space="preserve"> and legislative complexity.</w:t>
      </w:r>
    </w:p>
    <w:p w14:paraId="471CBB40" w14:textId="77777777" w:rsidR="002B5024" w:rsidRPr="00437E2B" w:rsidRDefault="002B5024" w:rsidP="00437E2B">
      <w:pPr>
        <w:ind w:left="720"/>
        <w:rPr>
          <w:rStyle w:val="Strong"/>
        </w:rPr>
      </w:pPr>
      <w:r w:rsidRPr="00437E2B">
        <w:rPr>
          <w:rStyle w:val="Strong"/>
        </w:rPr>
        <w:t>In line with the Forum Action Plan,</w:t>
      </w:r>
    </w:p>
    <w:p w14:paraId="34484E1B" w14:textId="77777777" w:rsidR="002B5024" w:rsidRPr="00437E2B" w:rsidRDefault="002B5024" w:rsidP="00437E2B">
      <w:pPr>
        <w:ind w:left="720"/>
        <w:rPr>
          <w:rStyle w:val="Strong"/>
        </w:rPr>
      </w:pPr>
      <w:r w:rsidRPr="00437E2B">
        <w:rPr>
          <w:rStyle w:val="Strong"/>
        </w:rPr>
        <w:t>in 2019 priority will be given to progressing recommendations relating to definitional considerations and the development of additional risk tiering.</w:t>
      </w:r>
    </w:p>
    <w:p w14:paraId="1612E363" w14:textId="77777777" w:rsidR="002C1026" w:rsidRDefault="002B5024" w:rsidP="00437E2B">
      <w:r>
        <w:t>These priorities have been identified to commence in 2019, as they are recognised as complex but important issues that need further development.</w:t>
      </w:r>
    </w:p>
    <w:p w14:paraId="7175F592" w14:textId="0150BCEE" w:rsidR="002C1026" w:rsidRDefault="002B5024" w:rsidP="00437E2B">
      <w:r>
        <w:t xml:space="preserve">They are also </w:t>
      </w:r>
      <w:proofErr w:type="gramStart"/>
      <w:r>
        <w:t>issues</w:t>
      </w:r>
      <w:proofErr w:type="gramEnd"/>
      <w:r>
        <w:t xml:space="preserve"> which will need time to address and it is anticipated that work on these issues will be required beyond 2019.</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1E0" w:firstRow="1" w:lastRow="1" w:firstColumn="1" w:lastColumn="1" w:noHBand="0" w:noVBand="0"/>
      </w:tblPr>
      <w:tblGrid>
        <w:gridCol w:w="1956"/>
        <w:gridCol w:w="4745"/>
        <w:gridCol w:w="3749"/>
      </w:tblGrid>
      <w:tr w:rsidR="002C1026" w14:paraId="5FBC296D" w14:textId="77777777" w:rsidTr="009659C8">
        <w:trPr>
          <w:trHeight w:val="1018"/>
          <w:tblHeader/>
        </w:trPr>
        <w:tc>
          <w:tcPr>
            <w:tcW w:w="897" w:type="pct"/>
            <w:shd w:val="clear" w:color="auto" w:fill="AAD590"/>
          </w:tcPr>
          <w:p w14:paraId="29DB9A51" w14:textId="77777777" w:rsidR="002C1026" w:rsidRDefault="002B5024">
            <w:pPr>
              <w:pStyle w:val="TableParagraph"/>
              <w:spacing w:line="249" w:lineRule="auto"/>
              <w:ind w:left="306"/>
              <w:rPr>
                <w:b/>
              </w:rPr>
            </w:pPr>
            <w:r>
              <w:rPr>
                <w:b/>
                <w:color w:val="FFFFFF"/>
              </w:rPr>
              <w:lastRenderedPageBreak/>
              <w:t>2019 Priority Work Stream</w:t>
            </w:r>
          </w:p>
        </w:tc>
        <w:tc>
          <w:tcPr>
            <w:tcW w:w="2290" w:type="pct"/>
            <w:tcBorders>
              <w:right w:val="nil"/>
            </w:tcBorders>
            <w:shd w:val="clear" w:color="auto" w:fill="AAD590"/>
          </w:tcPr>
          <w:p w14:paraId="0B69C5CE" w14:textId="77777777" w:rsidR="002C1026" w:rsidRDefault="002B5024">
            <w:pPr>
              <w:pStyle w:val="TableParagraph"/>
              <w:spacing w:before="132"/>
              <w:ind w:left="306"/>
              <w:rPr>
                <w:b/>
              </w:rPr>
            </w:pPr>
            <w:r>
              <w:rPr>
                <w:b/>
                <w:color w:val="FFFFFF"/>
              </w:rPr>
              <w:t>Recommendation(s)</w:t>
            </w:r>
          </w:p>
        </w:tc>
        <w:tc>
          <w:tcPr>
            <w:tcW w:w="1813" w:type="pct"/>
            <w:tcBorders>
              <w:left w:val="nil"/>
            </w:tcBorders>
            <w:shd w:val="clear" w:color="auto" w:fill="AAD590"/>
          </w:tcPr>
          <w:p w14:paraId="76F63E2D" w14:textId="77777777" w:rsidR="002C1026" w:rsidRDefault="002B5024">
            <w:pPr>
              <w:pStyle w:val="TableParagraph"/>
              <w:spacing w:before="132"/>
              <w:ind w:left="320"/>
              <w:rPr>
                <w:b/>
              </w:rPr>
            </w:pPr>
            <w:r>
              <w:rPr>
                <w:b/>
                <w:color w:val="FFFFFF"/>
              </w:rPr>
              <w:t>Summary</w:t>
            </w:r>
          </w:p>
        </w:tc>
      </w:tr>
      <w:tr w:rsidR="002C1026" w14:paraId="06EE641C" w14:textId="77777777" w:rsidTr="009659C8">
        <w:trPr>
          <w:trHeight w:val="6408"/>
        </w:trPr>
        <w:tc>
          <w:tcPr>
            <w:tcW w:w="897" w:type="pct"/>
            <w:tcBorders>
              <w:bottom w:val="nil"/>
            </w:tcBorders>
            <w:shd w:val="clear" w:color="auto" w:fill="D3E8C4"/>
          </w:tcPr>
          <w:p w14:paraId="508E15C9" w14:textId="77777777" w:rsidR="002C1026" w:rsidRDefault="002B5024">
            <w:pPr>
              <w:pStyle w:val="TableParagraph"/>
              <w:spacing w:before="175" w:line="247" w:lineRule="auto"/>
              <w:ind w:right="596"/>
              <w:rPr>
                <w:b/>
              </w:rPr>
            </w:pPr>
            <w:r>
              <w:rPr>
                <w:b/>
                <w:color w:val="231F20"/>
                <w:spacing w:val="-3"/>
              </w:rPr>
              <w:t xml:space="preserve">Review </w:t>
            </w:r>
            <w:r>
              <w:rPr>
                <w:b/>
                <w:color w:val="231F20"/>
              </w:rPr>
              <w:t>and</w:t>
            </w:r>
            <w:r>
              <w:rPr>
                <w:b/>
                <w:color w:val="231F20"/>
                <w:spacing w:val="-11"/>
              </w:rPr>
              <w:t xml:space="preserve"> </w:t>
            </w:r>
            <w:r>
              <w:rPr>
                <w:b/>
                <w:color w:val="231F20"/>
                <w:spacing w:val="-3"/>
              </w:rPr>
              <w:t>Update Definitions</w:t>
            </w:r>
          </w:p>
        </w:tc>
        <w:tc>
          <w:tcPr>
            <w:tcW w:w="2290" w:type="pct"/>
            <w:tcBorders>
              <w:bottom w:val="nil"/>
              <w:right w:val="nil"/>
            </w:tcBorders>
            <w:shd w:val="clear" w:color="auto" w:fill="D3E8C4"/>
          </w:tcPr>
          <w:p w14:paraId="75E69C07" w14:textId="77777777" w:rsidR="002C1026" w:rsidRDefault="002B5024">
            <w:pPr>
              <w:pStyle w:val="TableParagraph"/>
              <w:spacing w:before="175" w:line="247" w:lineRule="auto"/>
              <w:ind w:right="325"/>
              <w:jc w:val="both"/>
            </w:pPr>
            <w:r>
              <w:rPr>
                <w:b/>
                <w:color w:val="231F20"/>
                <w:spacing w:val="-3"/>
              </w:rPr>
              <w:t xml:space="preserve">Recommendation </w:t>
            </w:r>
            <w:r>
              <w:rPr>
                <w:b/>
                <w:color w:val="231F20"/>
              </w:rPr>
              <w:t xml:space="preserve">4: </w:t>
            </w:r>
            <w:r>
              <w:rPr>
                <w:color w:val="231F20"/>
              </w:rPr>
              <w:t xml:space="preserve">The </w:t>
            </w:r>
            <w:r>
              <w:rPr>
                <w:color w:val="231F20"/>
                <w:spacing w:val="-3"/>
              </w:rPr>
              <w:t xml:space="preserve">Review recommends updating, where required, </w:t>
            </w:r>
            <w:r>
              <w:rPr>
                <w:color w:val="231F20"/>
              </w:rPr>
              <w:t xml:space="preserve">the </w:t>
            </w:r>
            <w:r>
              <w:rPr>
                <w:color w:val="231F20"/>
                <w:spacing w:val="-3"/>
              </w:rPr>
              <w:t xml:space="preserve">existing definitions </w:t>
            </w:r>
            <w:r>
              <w:rPr>
                <w:color w:val="231F20"/>
              </w:rPr>
              <w:t xml:space="preserve">in the </w:t>
            </w:r>
            <w:r>
              <w:rPr>
                <w:color w:val="231F20"/>
                <w:spacing w:val="-3"/>
              </w:rPr>
              <w:t xml:space="preserve">Gene </w:t>
            </w:r>
            <w:r>
              <w:rPr>
                <w:color w:val="231F20"/>
                <w:spacing w:val="-6"/>
              </w:rPr>
              <w:t xml:space="preserve">Technology </w:t>
            </w:r>
            <w:r>
              <w:rPr>
                <w:color w:val="231F20"/>
              </w:rPr>
              <w:t xml:space="preserve">Act </w:t>
            </w:r>
            <w:r>
              <w:rPr>
                <w:color w:val="231F20"/>
                <w:spacing w:val="-3"/>
              </w:rPr>
              <w:t>2000 (</w:t>
            </w:r>
            <w:proofErr w:type="spellStart"/>
            <w:r>
              <w:rPr>
                <w:color w:val="231F20"/>
                <w:spacing w:val="-3"/>
              </w:rPr>
              <w:t>Cth</w:t>
            </w:r>
            <w:proofErr w:type="spellEnd"/>
            <w:r>
              <w:rPr>
                <w:color w:val="231F20"/>
                <w:spacing w:val="-3"/>
              </w:rPr>
              <w:t>), to</w:t>
            </w:r>
          </w:p>
          <w:p w14:paraId="2AFCBAD8" w14:textId="77777777" w:rsidR="002C1026" w:rsidRDefault="002B5024">
            <w:pPr>
              <w:pStyle w:val="TableParagraph"/>
              <w:spacing w:line="247" w:lineRule="auto"/>
              <w:ind w:right="179"/>
            </w:pPr>
            <w:r>
              <w:rPr>
                <w:color w:val="231F20"/>
                <w:spacing w:val="-3"/>
              </w:rPr>
              <w:t xml:space="preserve">clarify </w:t>
            </w:r>
            <w:r>
              <w:rPr>
                <w:color w:val="231F20"/>
              </w:rPr>
              <w:t xml:space="preserve">the </w:t>
            </w:r>
            <w:r>
              <w:rPr>
                <w:color w:val="231F20"/>
                <w:spacing w:val="-3"/>
              </w:rPr>
              <w:t xml:space="preserve">scope </w:t>
            </w:r>
            <w:r>
              <w:rPr>
                <w:color w:val="231F20"/>
              </w:rPr>
              <w:t xml:space="preserve">of </w:t>
            </w:r>
            <w:r>
              <w:rPr>
                <w:color w:val="231F20"/>
                <w:spacing w:val="-3"/>
              </w:rPr>
              <w:t xml:space="preserve">regulation </w:t>
            </w:r>
            <w:proofErr w:type="gramStart"/>
            <w:r>
              <w:rPr>
                <w:color w:val="231F20"/>
              </w:rPr>
              <w:t xml:space="preserve">in </w:t>
            </w:r>
            <w:r>
              <w:rPr>
                <w:color w:val="231F20"/>
                <w:spacing w:val="-3"/>
              </w:rPr>
              <w:t xml:space="preserve">light </w:t>
            </w:r>
            <w:r>
              <w:rPr>
                <w:color w:val="231F20"/>
              </w:rPr>
              <w:t>of</w:t>
            </w:r>
            <w:proofErr w:type="gramEnd"/>
            <w:r>
              <w:rPr>
                <w:color w:val="231F20"/>
              </w:rPr>
              <w:t xml:space="preserve"> </w:t>
            </w:r>
            <w:r>
              <w:rPr>
                <w:color w:val="231F20"/>
                <w:spacing w:val="-3"/>
              </w:rPr>
              <w:t xml:space="preserve">ongoing technical advances. </w:t>
            </w:r>
            <w:r>
              <w:rPr>
                <w:color w:val="231F20"/>
              </w:rPr>
              <w:t xml:space="preserve">Any </w:t>
            </w:r>
            <w:r>
              <w:rPr>
                <w:color w:val="231F20"/>
                <w:spacing w:val="-3"/>
              </w:rPr>
              <w:t xml:space="preserve">changes </w:t>
            </w:r>
            <w:r>
              <w:rPr>
                <w:color w:val="231F20"/>
              </w:rPr>
              <w:t xml:space="preserve">to </w:t>
            </w:r>
            <w:r>
              <w:rPr>
                <w:color w:val="231F20"/>
                <w:spacing w:val="-3"/>
              </w:rPr>
              <w:t xml:space="preserve">definitions should </w:t>
            </w:r>
            <w:proofErr w:type="gramStart"/>
            <w:r>
              <w:rPr>
                <w:color w:val="231F20"/>
                <w:spacing w:val="-3"/>
              </w:rPr>
              <w:t>take into account</w:t>
            </w:r>
            <w:proofErr w:type="gramEnd"/>
            <w:r>
              <w:rPr>
                <w:color w:val="231F20"/>
                <w:spacing w:val="-3"/>
              </w:rPr>
              <w:t xml:space="preserve"> concurrent work, including relevant domestic reviews </w:t>
            </w:r>
            <w:r>
              <w:rPr>
                <w:color w:val="231F20"/>
              </w:rPr>
              <w:t xml:space="preserve">and </w:t>
            </w:r>
            <w:r>
              <w:rPr>
                <w:color w:val="231F20"/>
                <w:spacing w:val="-3"/>
              </w:rPr>
              <w:t xml:space="preserve">ongoing work </w:t>
            </w:r>
            <w:r>
              <w:rPr>
                <w:color w:val="231F20"/>
                <w:spacing w:val="-4"/>
              </w:rPr>
              <w:t>internationally.</w:t>
            </w:r>
          </w:p>
          <w:p w14:paraId="3C98C583" w14:textId="77777777" w:rsidR="002C1026" w:rsidRDefault="002B5024">
            <w:pPr>
              <w:pStyle w:val="TableParagraph"/>
              <w:spacing w:before="109"/>
            </w:pPr>
            <w:r>
              <w:rPr>
                <w:b/>
                <w:color w:val="231F20"/>
              </w:rPr>
              <w:t xml:space="preserve">Recommendation 6: </w:t>
            </w:r>
            <w:r>
              <w:rPr>
                <w:color w:val="231F20"/>
              </w:rPr>
              <w:t>The Review recommends:</w:t>
            </w:r>
          </w:p>
          <w:p w14:paraId="4BDE12A6" w14:textId="77777777" w:rsidR="002C1026" w:rsidRDefault="002B5024">
            <w:pPr>
              <w:pStyle w:val="TableParagraph"/>
              <w:numPr>
                <w:ilvl w:val="0"/>
                <w:numId w:val="2"/>
              </w:numPr>
              <w:tabs>
                <w:tab w:val="left" w:pos="487"/>
              </w:tabs>
              <w:spacing w:before="121" w:line="247" w:lineRule="auto"/>
              <w:ind w:right="367" w:firstLine="0"/>
            </w:pPr>
            <w:r>
              <w:rPr>
                <w:color w:val="231F20"/>
              </w:rPr>
              <w:t xml:space="preserve">the </w:t>
            </w:r>
            <w:r>
              <w:rPr>
                <w:color w:val="231F20"/>
                <w:spacing w:val="-3"/>
              </w:rPr>
              <w:t xml:space="preserve">definition </w:t>
            </w:r>
            <w:r>
              <w:rPr>
                <w:color w:val="231F20"/>
              </w:rPr>
              <w:t xml:space="preserve">of a </w:t>
            </w:r>
            <w:r>
              <w:rPr>
                <w:color w:val="231F20"/>
                <w:spacing w:val="-3"/>
              </w:rPr>
              <w:t xml:space="preserve">genetically modified organism under </w:t>
            </w:r>
            <w:r>
              <w:rPr>
                <w:color w:val="231F20"/>
              </w:rPr>
              <w:t xml:space="preserve">the </w:t>
            </w:r>
            <w:r>
              <w:rPr>
                <w:color w:val="231F20"/>
                <w:spacing w:val="-3"/>
              </w:rPr>
              <w:t xml:space="preserve">Gene </w:t>
            </w:r>
            <w:r>
              <w:rPr>
                <w:color w:val="231F20"/>
                <w:spacing w:val="-6"/>
              </w:rPr>
              <w:t xml:space="preserve">Technology </w:t>
            </w:r>
            <w:r>
              <w:rPr>
                <w:color w:val="231F20"/>
              </w:rPr>
              <w:t xml:space="preserve">Act </w:t>
            </w:r>
            <w:r>
              <w:rPr>
                <w:color w:val="231F20"/>
                <w:spacing w:val="-3"/>
              </w:rPr>
              <w:t>2000 (</w:t>
            </w:r>
            <w:proofErr w:type="spellStart"/>
            <w:r>
              <w:rPr>
                <w:color w:val="231F20"/>
                <w:spacing w:val="-3"/>
              </w:rPr>
              <w:t>Cth</w:t>
            </w:r>
            <w:proofErr w:type="spellEnd"/>
            <w:r>
              <w:rPr>
                <w:color w:val="231F20"/>
                <w:spacing w:val="-3"/>
              </w:rPr>
              <w:t xml:space="preserve">) </w:t>
            </w:r>
            <w:r>
              <w:rPr>
                <w:color w:val="231F20"/>
              </w:rPr>
              <w:t xml:space="preserve">be </w:t>
            </w:r>
            <w:r>
              <w:rPr>
                <w:color w:val="231F20"/>
                <w:spacing w:val="-3"/>
              </w:rPr>
              <w:t xml:space="preserve">amended </w:t>
            </w:r>
            <w:r>
              <w:rPr>
                <w:color w:val="231F20"/>
              </w:rPr>
              <w:t xml:space="preserve">to </w:t>
            </w:r>
            <w:r>
              <w:rPr>
                <w:color w:val="231F20"/>
                <w:spacing w:val="-3"/>
              </w:rPr>
              <w:t xml:space="preserve">clarify that humans </w:t>
            </w:r>
            <w:r>
              <w:rPr>
                <w:color w:val="231F20"/>
              </w:rPr>
              <w:t xml:space="preserve">are </w:t>
            </w:r>
            <w:r>
              <w:rPr>
                <w:color w:val="231F20"/>
                <w:spacing w:val="-3"/>
              </w:rPr>
              <w:t xml:space="preserve">not (considered </w:t>
            </w:r>
            <w:r>
              <w:rPr>
                <w:color w:val="231F20"/>
              </w:rPr>
              <w:t xml:space="preserve">to be) </w:t>
            </w:r>
            <w:r>
              <w:rPr>
                <w:color w:val="231F20"/>
                <w:spacing w:val="-3"/>
              </w:rPr>
              <w:t xml:space="preserve">GMOs; </w:t>
            </w:r>
            <w:r>
              <w:rPr>
                <w:color w:val="231F20"/>
              </w:rPr>
              <w:t>and</w:t>
            </w:r>
            <w:r>
              <w:rPr>
                <w:color w:val="231F20"/>
                <w:spacing w:val="-21"/>
              </w:rPr>
              <w:t xml:space="preserve"> </w:t>
            </w:r>
            <w:r>
              <w:rPr>
                <w:color w:val="231F20"/>
                <w:spacing w:val="-3"/>
              </w:rPr>
              <w:t>that</w:t>
            </w:r>
          </w:p>
          <w:p w14:paraId="217E3EE7" w14:textId="77777777" w:rsidR="002C1026" w:rsidRDefault="002B5024">
            <w:pPr>
              <w:pStyle w:val="TableParagraph"/>
              <w:numPr>
                <w:ilvl w:val="0"/>
                <w:numId w:val="2"/>
              </w:numPr>
              <w:tabs>
                <w:tab w:val="left" w:pos="487"/>
              </w:tabs>
              <w:spacing w:before="111" w:line="247" w:lineRule="auto"/>
              <w:ind w:right="349" w:firstLine="0"/>
            </w:pPr>
            <w:r>
              <w:rPr>
                <w:color w:val="231F20"/>
                <w:spacing w:val="-3"/>
              </w:rPr>
              <w:t xml:space="preserve">subject </w:t>
            </w:r>
            <w:r>
              <w:rPr>
                <w:color w:val="231F20"/>
              </w:rPr>
              <w:t xml:space="preserve">to </w:t>
            </w:r>
            <w:r>
              <w:rPr>
                <w:color w:val="231F20"/>
                <w:spacing w:val="-3"/>
              </w:rPr>
              <w:t xml:space="preserve">consideration, Council </w:t>
            </w:r>
            <w:r>
              <w:rPr>
                <w:color w:val="231F20"/>
              </w:rPr>
              <w:t xml:space="preserve">of </w:t>
            </w:r>
            <w:r>
              <w:rPr>
                <w:color w:val="231F20"/>
                <w:spacing w:val="-3"/>
              </w:rPr>
              <w:t>Australian Governments (COAG) Health Council might also consider whether additional</w:t>
            </w:r>
            <w:r>
              <w:rPr>
                <w:color w:val="231F20"/>
                <w:spacing w:val="-8"/>
              </w:rPr>
              <w:t xml:space="preserve"> </w:t>
            </w:r>
            <w:r>
              <w:rPr>
                <w:color w:val="231F20"/>
                <w:spacing w:val="-3"/>
              </w:rPr>
              <w:t>regulatory</w:t>
            </w:r>
          </w:p>
          <w:p w14:paraId="033FDA2C" w14:textId="77777777" w:rsidR="002C1026" w:rsidRDefault="002B5024">
            <w:pPr>
              <w:pStyle w:val="TableParagraph"/>
              <w:spacing w:line="247" w:lineRule="auto"/>
              <w:ind w:right="179"/>
            </w:pPr>
            <w:r>
              <w:rPr>
                <w:color w:val="231F20"/>
                <w:spacing w:val="-3"/>
              </w:rPr>
              <w:t xml:space="preserve">oversight </w:t>
            </w:r>
            <w:r>
              <w:rPr>
                <w:color w:val="231F20"/>
              </w:rPr>
              <w:t xml:space="preserve">is </w:t>
            </w:r>
            <w:r>
              <w:rPr>
                <w:color w:val="231F20"/>
                <w:spacing w:val="-3"/>
              </w:rPr>
              <w:t xml:space="preserve">needed </w:t>
            </w:r>
            <w:r>
              <w:rPr>
                <w:color w:val="231F20"/>
              </w:rPr>
              <w:t xml:space="preserve">for </w:t>
            </w:r>
            <w:r>
              <w:rPr>
                <w:color w:val="231F20"/>
                <w:spacing w:val="-3"/>
              </w:rPr>
              <w:t xml:space="preserve">humans </w:t>
            </w:r>
            <w:r>
              <w:rPr>
                <w:color w:val="231F20"/>
              </w:rPr>
              <w:t xml:space="preserve">who may </w:t>
            </w:r>
            <w:r>
              <w:rPr>
                <w:color w:val="231F20"/>
                <w:spacing w:val="-3"/>
              </w:rPr>
              <w:t xml:space="preserve">receive </w:t>
            </w:r>
            <w:r>
              <w:rPr>
                <w:color w:val="231F20"/>
              </w:rPr>
              <w:t xml:space="preserve">or </w:t>
            </w:r>
            <w:r>
              <w:rPr>
                <w:color w:val="231F20"/>
                <w:spacing w:val="-3"/>
              </w:rPr>
              <w:t xml:space="preserve">inherit germline therapies </w:t>
            </w:r>
            <w:r>
              <w:rPr>
                <w:color w:val="231F20"/>
              </w:rPr>
              <w:t xml:space="preserve">(or </w:t>
            </w:r>
            <w:r>
              <w:rPr>
                <w:color w:val="231F20"/>
                <w:spacing w:val="-3"/>
              </w:rPr>
              <w:t xml:space="preserve">other somatic therapies </w:t>
            </w:r>
            <w:r>
              <w:rPr>
                <w:color w:val="231F20"/>
              </w:rPr>
              <w:t xml:space="preserve">not </w:t>
            </w:r>
            <w:r>
              <w:rPr>
                <w:color w:val="231F20"/>
                <w:spacing w:val="-3"/>
              </w:rPr>
              <w:t xml:space="preserve">within </w:t>
            </w:r>
            <w:r>
              <w:rPr>
                <w:color w:val="231F20"/>
              </w:rPr>
              <w:t xml:space="preserve">the </w:t>
            </w:r>
            <w:r>
              <w:rPr>
                <w:color w:val="231F20"/>
                <w:spacing w:val="-3"/>
              </w:rPr>
              <w:t xml:space="preserve">remit </w:t>
            </w:r>
            <w:r>
              <w:rPr>
                <w:color w:val="231F20"/>
              </w:rPr>
              <w:t xml:space="preserve">of the </w:t>
            </w:r>
            <w:r>
              <w:rPr>
                <w:color w:val="231F20"/>
                <w:spacing w:val="-3"/>
              </w:rPr>
              <w:t>Scheme).</w:t>
            </w:r>
          </w:p>
          <w:p w14:paraId="43A16A94" w14:textId="77777777" w:rsidR="002C1026" w:rsidRDefault="002B5024">
            <w:pPr>
              <w:pStyle w:val="TableParagraph"/>
              <w:spacing w:line="247" w:lineRule="auto"/>
            </w:pPr>
            <w:r>
              <w:rPr>
                <w:color w:val="231F20"/>
              </w:rPr>
              <w:t xml:space="preserve">The </w:t>
            </w:r>
            <w:r>
              <w:rPr>
                <w:color w:val="231F20"/>
                <w:spacing w:val="-3"/>
              </w:rPr>
              <w:t xml:space="preserve">COAG Health Council should also consider which regulatory </w:t>
            </w:r>
            <w:r>
              <w:rPr>
                <w:color w:val="231F20"/>
              </w:rPr>
              <w:t xml:space="preserve">(or </w:t>
            </w:r>
            <w:r>
              <w:rPr>
                <w:color w:val="231F20"/>
                <w:spacing w:val="-3"/>
              </w:rPr>
              <w:t xml:space="preserve">other) body would </w:t>
            </w:r>
            <w:r>
              <w:rPr>
                <w:color w:val="231F20"/>
              </w:rPr>
              <w:t xml:space="preserve">be </w:t>
            </w:r>
            <w:r>
              <w:rPr>
                <w:color w:val="231F20"/>
                <w:spacing w:val="-3"/>
              </w:rPr>
              <w:t xml:space="preserve">most appropriate </w:t>
            </w:r>
            <w:r>
              <w:rPr>
                <w:color w:val="231F20"/>
              </w:rPr>
              <w:t xml:space="preserve">to </w:t>
            </w:r>
            <w:r>
              <w:rPr>
                <w:color w:val="231F20"/>
                <w:spacing w:val="-3"/>
              </w:rPr>
              <w:t>undertake such oversight.</w:t>
            </w:r>
          </w:p>
        </w:tc>
        <w:tc>
          <w:tcPr>
            <w:tcW w:w="1813" w:type="pct"/>
            <w:tcBorders>
              <w:left w:val="nil"/>
              <w:bottom w:val="nil"/>
            </w:tcBorders>
            <w:shd w:val="clear" w:color="auto" w:fill="D3E8C4"/>
          </w:tcPr>
          <w:p w14:paraId="22828A22" w14:textId="77777777" w:rsidR="002C1026" w:rsidRDefault="002B5024">
            <w:pPr>
              <w:pStyle w:val="TableParagraph"/>
              <w:spacing w:before="176" w:line="247" w:lineRule="auto"/>
              <w:ind w:left="242" w:right="526"/>
            </w:pPr>
            <w:r>
              <w:rPr>
                <w:color w:val="231F20"/>
              </w:rPr>
              <w:t xml:space="preserve">The </w:t>
            </w:r>
            <w:r>
              <w:rPr>
                <w:color w:val="231F20"/>
                <w:spacing w:val="-3"/>
              </w:rPr>
              <w:t xml:space="preserve">Review identified </w:t>
            </w:r>
            <w:proofErr w:type="gramStart"/>
            <w:r>
              <w:rPr>
                <w:color w:val="231F20"/>
              </w:rPr>
              <w:t xml:space="preserve">a </w:t>
            </w:r>
            <w:r>
              <w:rPr>
                <w:color w:val="231F20"/>
                <w:spacing w:val="-3"/>
              </w:rPr>
              <w:t>number of</w:t>
            </w:r>
            <w:proofErr w:type="gramEnd"/>
            <w:r>
              <w:rPr>
                <w:color w:val="231F20"/>
                <w:spacing w:val="-3"/>
              </w:rPr>
              <w:t xml:space="preserve"> definitional issues which underpin </w:t>
            </w:r>
            <w:r>
              <w:rPr>
                <w:color w:val="231F20"/>
              </w:rPr>
              <w:t xml:space="preserve">the </w:t>
            </w:r>
            <w:r>
              <w:rPr>
                <w:color w:val="231F20"/>
                <w:spacing w:val="-3"/>
              </w:rPr>
              <w:t xml:space="preserve">Scheme </w:t>
            </w:r>
            <w:r>
              <w:rPr>
                <w:color w:val="231F20"/>
              </w:rPr>
              <w:t xml:space="preserve">and </w:t>
            </w:r>
            <w:r>
              <w:rPr>
                <w:color w:val="231F20"/>
                <w:spacing w:val="-3"/>
              </w:rPr>
              <w:t xml:space="preserve">have </w:t>
            </w:r>
            <w:r>
              <w:rPr>
                <w:color w:val="231F20"/>
              </w:rPr>
              <w:t xml:space="preserve">a </w:t>
            </w:r>
            <w:r>
              <w:rPr>
                <w:color w:val="231F20"/>
                <w:spacing w:val="-3"/>
              </w:rPr>
              <w:t xml:space="preserve">bearing </w:t>
            </w:r>
            <w:r>
              <w:rPr>
                <w:color w:val="231F20"/>
              </w:rPr>
              <w:t xml:space="preserve">on the </w:t>
            </w:r>
            <w:r>
              <w:rPr>
                <w:color w:val="231F20"/>
                <w:spacing w:val="-3"/>
              </w:rPr>
              <w:t xml:space="preserve">implementation </w:t>
            </w:r>
            <w:r>
              <w:rPr>
                <w:color w:val="231F20"/>
              </w:rPr>
              <w:t>of a</w:t>
            </w:r>
            <w:r>
              <w:rPr>
                <w:color w:val="231F20"/>
                <w:spacing w:val="-31"/>
              </w:rPr>
              <w:t xml:space="preserve"> </w:t>
            </w:r>
            <w:r>
              <w:rPr>
                <w:color w:val="231F20"/>
                <w:spacing w:val="-3"/>
              </w:rPr>
              <w:t xml:space="preserve">number </w:t>
            </w:r>
            <w:r>
              <w:rPr>
                <w:color w:val="231F20"/>
              </w:rPr>
              <w:t xml:space="preserve">of the </w:t>
            </w:r>
            <w:r>
              <w:rPr>
                <w:color w:val="231F20"/>
                <w:spacing w:val="-3"/>
              </w:rPr>
              <w:t>recommendations. Updating definitions will ensure that</w:t>
            </w:r>
            <w:r>
              <w:rPr>
                <w:color w:val="231F20"/>
                <w:spacing w:val="-8"/>
              </w:rPr>
              <w:t xml:space="preserve"> </w:t>
            </w:r>
            <w:r>
              <w:rPr>
                <w:color w:val="231F20"/>
                <w:spacing w:val="-3"/>
              </w:rPr>
              <w:t>the</w:t>
            </w:r>
          </w:p>
          <w:p w14:paraId="04FA0715" w14:textId="77777777" w:rsidR="002C1026" w:rsidRDefault="002B5024">
            <w:pPr>
              <w:pStyle w:val="TableParagraph"/>
              <w:spacing w:line="247" w:lineRule="auto"/>
              <w:ind w:left="242" w:right="249"/>
            </w:pPr>
            <w:r>
              <w:rPr>
                <w:color w:val="231F20"/>
                <w:spacing w:val="-3"/>
              </w:rPr>
              <w:t xml:space="preserve">Scheme remains fit-for-purpose and agile </w:t>
            </w:r>
            <w:r>
              <w:rPr>
                <w:color w:val="231F20"/>
              </w:rPr>
              <w:t xml:space="preserve">in an </w:t>
            </w:r>
            <w:r>
              <w:rPr>
                <w:color w:val="231F20"/>
                <w:spacing w:val="-3"/>
              </w:rPr>
              <w:t xml:space="preserve">environment </w:t>
            </w:r>
            <w:r>
              <w:rPr>
                <w:color w:val="231F20"/>
              </w:rPr>
              <w:t xml:space="preserve">of </w:t>
            </w:r>
            <w:r>
              <w:rPr>
                <w:color w:val="231F20"/>
                <w:spacing w:val="-3"/>
              </w:rPr>
              <w:t xml:space="preserve">rapidly developing </w:t>
            </w:r>
            <w:proofErr w:type="gramStart"/>
            <w:r>
              <w:rPr>
                <w:color w:val="231F20"/>
                <w:spacing w:val="-5"/>
              </w:rPr>
              <w:t xml:space="preserve">technology, </w:t>
            </w:r>
            <w:r>
              <w:rPr>
                <w:color w:val="231F20"/>
              </w:rPr>
              <w:t>and</w:t>
            </w:r>
            <w:proofErr w:type="gramEnd"/>
            <w:r>
              <w:rPr>
                <w:color w:val="231F20"/>
              </w:rPr>
              <w:t xml:space="preserve"> </w:t>
            </w:r>
            <w:r>
              <w:rPr>
                <w:color w:val="231F20"/>
                <w:spacing w:val="-3"/>
              </w:rPr>
              <w:t xml:space="preserve">supports innovation </w:t>
            </w:r>
            <w:r>
              <w:rPr>
                <w:color w:val="231F20"/>
              </w:rPr>
              <w:t xml:space="preserve">now and </w:t>
            </w:r>
            <w:r>
              <w:rPr>
                <w:color w:val="231F20"/>
                <w:spacing w:val="-3"/>
              </w:rPr>
              <w:t xml:space="preserve">into </w:t>
            </w:r>
            <w:r>
              <w:rPr>
                <w:color w:val="231F20"/>
              </w:rPr>
              <w:t xml:space="preserve">the </w:t>
            </w:r>
            <w:r>
              <w:rPr>
                <w:color w:val="231F20"/>
                <w:spacing w:val="-3"/>
              </w:rPr>
              <w:t>future.</w:t>
            </w:r>
          </w:p>
        </w:tc>
      </w:tr>
      <w:tr w:rsidR="002C1026" w14:paraId="42F9A0F7" w14:textId="77777777" w:rsidTr="009659C8">
        <w:trPr>
          <w:trHeight w:val="3728"/>
        </w:trPr>
        <w:tc>
          <w:tcPr>
            <w:tcW w:w="897" w:type="pct"/>
            <w:tcBorders>
              <w:top w:val="nil"/>
            </w:tcBorders>
            <w:shd w:val="clear" w:color="auto" w:fill="AAD590"/>
          </w:tcPr>
          <w:p w14:paraId="0283317C" w14:textId="77777777" w:rsidR="002C1026" w:rsidRDefault="002B5024">
            <w:pPr>
              <w:pStyle w:val="TableParagraph"/>
              <w:spacing w:before="186" w:line="247" w:lineRule="auto"/>
              <w:rPr>
                <w:b/>
              </w:rPr>
            </w:pPr>
            <w:r>
              <w:rPr>
                <w:b/>
                <w:color w:val="231F20"/>
              </w:rPr>
              <w:t>Risk Proportionate Framework</w:t>
            </w:r>
          </w:p>
        </w:tc>
        <w:tc>
          <w:tcPr>
            <w:tcW w:w="2290" w:type="pct"/>
            <w:tcBorders>
              <w:top w:val="nil"/>
              <w:right w:val="nil"/>
            </w:tcBorders>
            <w:shd w:val="clear" w:color="auto" w:fill="AAD590"/>
          </w:tcPr>
          <w:p w14:paraId="7E0E1512" w14:textId="77777777" w:rsidR="002C1026" w:rsidRDefault="002B5024">
            <w:pPr>
              <w:pStyle w:val="TableParagraph"/>
              <w:spacing w:before="186" w:line="247" w:lineRule="auto"/>
              <w:ind w:right="356"/>
            </w:pPr>
            <w:r>
              <w:rPr>
                <w:b/>
                <w:color w:val="231F20"/>
                <w:spacing w:val="-3"/>
              </w:rPr>
              <w:t xml:space="preserve">Recommendation </w:t>
            </w:r>
            <w:r>
              <w:rPr>
                <w:b/>
                <w:color w:val="231F20"/>
              </w:rPr>
              <w:t xml:space="preserve">9: </w:t>
            </w:r>
            <w:r>
              <w:rPr>
                <w:color w:val="231F20"/>
              </w:rPr>
              <w:t xml:space="preserve">The </w:t>
            </w:r>
            <w:r>
              <w:rPr>
                <w:color w:val="231F20"/>
                <w:spacing w:val="-3"/>
              </w:rPr>
              <w:t xml:space="preserve">Review recommends </w:t>
            </w:r>
            <w:r>
              <w:rPr>
                <w:color w:val="231F20"/>
              </w:rPr>
              <w:t xml:space="preserve">the </w:t>
            </w:r>
            <w:r>
              <w:rPr>
                <w:color w:val="231F20"/>
                <w:spacing w:val="-3"/>
              </w:rPr>
              <w:t xml:space="preserve">introduction </w:t>
            </w:r>
            <w:r>
              <w:rPr>
                <w:color w:val="231F20"/>
              </w:rPr>
              <w:t xml:space="preserve">of </w:t>
            </w:r>
            <w:r>
              <w:rPr>
                <w:color w:val="231F20"/>
                <w:spacing w:val="-3"/>
              </w:rPr>
              <w:t xml:space="preserve">additional risk tiering into the Scheme, </w:t>
            </w:r>
            <w:r>
              <w:rPr>
                <w:color w:val="231F20"/>
              </w:rPr>
              <w:t xml:space="preserve">to </w:t>
            </w:r>
            <w:r>
              <w:rPr>
                <w:color w:val="231F20"/>
                <w:spacing w:val="-3"/>
              </w:rPr>
              <w:t xml:space="preserve">facilitate flexibility </w:t>
            </w:r>
            <w:r>
              <w:rPr>
                <w:color w:val="231F20"/>
              </w:rPr>
              <w:t xml:space="preserve">of the </w:t>
            </w:r>
            <w:r>
              <w:rPr>
                <w:color w:val="231F20"/>
                <w:spacing w:val="-3"/>
              </w:rPr>
              <w:t xml:space="preserve">regulatory Scheme </w:t>
            </w:r>
            <w:r>
              <w:rPr>
                <w:color w:val="231F20"/>
              </w:rPr>
              <w:t xml:space="preserve">and </w:t>
            </w:r>
            <w:r>
              <w:rPr>
                <w:color w:val="231F20"/>
                <w:spacing w:val="-3"/>
              </w:rPr>
              <w:t>ensure:</w:t>
            </w:r>
          </w:p>
          <w:p w14:paraId="7D4B4820" w14:textId="77777777" w:rsidR="002C1026" w:rsidRDefault="002B5024">
            <w:pPr>
              <w:pStyle w:val="TableParagraph"/>
              <w:numPr>
                <w:ilvl w:val="0"/>
                <w:numId w:val="1"/>
              </w:numPr>
              <w:tabs>
                <w:tab w:val="left" w:pos="487"/>
              </w:tabs>
              <w:spacing w:before="111" w:line="247" w:lineRule="auto"/>
              <w:ind w:right="276" w:firstLine="0"/>
            </w:pPr>
            <w:r>
              <w:rPr>
                <w:color w:val="231F20"/>
              </w:rPr>
              <w:t xml:space="preserve">the </w:t>
            </w:r>
            <w:r>
              <w:rPr>
                <w:color w:val="231F20"/>
                <w:spacing w:val="-3"/>
              </w:rPr>
              <w:t xml:space="preserve">level </w:t>
            </w:r>
            <w:r>
              <w:rPr>
                <w:color w:val="231F20"/>
              </w:rPr>
              <w:t xml:space="preserve">of </w:t>
            </w:r>
            <w:r>
              <w:rPr>
                <w:color w:val="231F20"/>
                <w:spacing w:val="-3"/>
              </w:rPr>
              <w:t xml:space="preserve">regulation remains proportionate </w:t>
            </w:r>
            <w:r>
              <w:rPr>
                <w:color w:val="231F20"/>
              </w:rPr>
              <w:t xml:space="preserve">to </w:t>
            </w:r>
            <w:r>
              <w:rPr>
                <w:color w:val="231F20"/>
                <w:spacing w:val="-3"/>
              </w:rPr>
              <w:t xml:space="preserve">risk, </w:t>
            </w:r>
            <w:r>
              <w:rPr>
                <w:color w:val="231F20"/>
              </w:rPr>
              <w:t xml:space="preserve">and </w:t>
            </w:r>
            <w:r>
              <w:rPr>
                <w:color w:val="231F20"/>
                <w:spacing w:val="-3"/>
              </w:rPr>
              <w:t>protects against under regulation and overregulation;</w:t>
            </w:r>
            <w:r>
              <w:rPr>
                <w:color w:val="231F20"/>
                <w:spacing w:val="-5"/>
              </w:rPr>
              <w:t xml:space="preserve"> </w:t>
            </w:r>
            <w:r>
              <w:rPr>
                <w:color w:val="231F20"/>
                <w:spacing w:val="-3"/>
              </w:rPr>
              <w:t>and</w:t>
            </w:r>
          </w:p>
          <w:p w14:paraId="4C1AFCD1" w14:textId="77777777" w:rsidR="002C1026" w:rsidRDefault="002B5024">
            <w:pPr>
              <w:pStyle w:val="TableParagraph"/>
              <w:numPr>
                <w:ilvl w:val="0"/>
                <w:numId w:val="1"/>
              </w:numPr>
              <w:tabs>
                <w:tab w:val="left" w:pos="487"/>
              </w:tabs>
              <w:spacing w:before="112" w:line="247" w:lineRule="auto"/>
              <w:ind w:right="435" w:firstLine="0"/>
            </w:pPr>
            <w:r>
              <w:rPr>
                <w:color w:val="231F20"/>
                <w:spacing w:val="-3"/>
              </w:rPr>
              <w:t xml:space="preserve">where appropriate, there </w:t>
            </w:r>
            <w:r>
              <w:rPr>
                <w:color w:val="231F20"/>
              </w:rPr>
              <w:t xml:space="preserve">is </w:t>
            </w:r>
            <w:r>
              <w:rPr>
                <w:color w:val="231F20"/>
                <w:spacing w:val="-3"/>
              </w:rPr>
              <w:t xml:space="preserve">flexibility </w:t>
            </w:r>
            <w:r>
              <w:rPr>
                <w:color w:val="231F20"/>
              </w:rPr>
              <w:t xml:space="preserve">to </w:t>
            </w:r>
            <w:r>
              <w:rPr>
                <w:color w:val="231F20"/>
                <w:spacing w:val="-3"/>
              </w:rPr>
              <w:t xml:space="preserve">move organisms between categories, based on identification </w:t>
            </w:r>
            <w:r>
              <w:rPr>
                <w:color w:val="231F20"/>
              </w:rPr>
              <w:t xml:space="preserve">of new </w:t>
            </w:r>
            <w:r>
              <w:rPr>
                <w:color w:val="231F20"/>
                <w:spacing w:val="-3"/>
              </w:rPr>
              <w:t xml:space="preserve">risks, </w:t>
            </w:r>
            <w:r>
              <w:rPr>
                <w:color w:val="231F20"/>
              </w:rPr>
              <w:t xml:space="preserve">a </w:t>
            </w:r>
            <w:r>
              <w:rPr>
                <w:color w:val="231F20"/>
                <w:spacing w:val="-3"/>
              </w:rPr>
              <w:t xml:space="preserve">history </w:t>
            </w:r>
            <w:r>
              <w:rPr>
                <w:color w:val="231F20"/>
              </w:rPr>
              <w:t xml:space="preserve">of </w:t>
            </w:r>
            <w:r>
              <w:rPr>
                <w:color w:val="231F20"/>
                <w:spacing w:val="-3"/>
              </w:rPr>
              <w:t xml:space="preserve">safe use, </w:t>
            </w:r>
            <w:r>
              <w:rPr>
                <w:color w:val="231F20"/>
              </w:rPr>
              <w:t xml:space="preserve">or </w:t>
            </w:r>
            <w:r>
              <w:rPr>
                <w:color w:val="231F20"/>
                <w:spacing w:val="-3"/>
              </w:rPr>
              <w:t>other relevant</w:t>
            </w:r>
            <w:r>
              <w:rPr>
                <w:color w:val="231F20"/>
                <w:spacing w:val="-12"/>
              </w:rPr>
              <w:t xml:space="preserve"> </w:t>
            </w:r>
            <w:r>
              <w:rPr>
                <w:color w:val="231F20"/>
                <w:spacing w:val="-3"/>
              </w:rPr>
              <w:t>factors.</w:t>
            </w:r>
          </w:p>
        </w:tc>
        <w:tc>
          <w:tcPr>
            <w:tcW w:w="1813" w:type="pct"/>
            <w:tcBorders>
              <w:top w:val="nil"/>
              <w:left w:val="nil"/>
            </w:tcBorders>
            <w:shd w:val="clear" w:color="auto" w:fill="AAD590"/>
          </w:tcPr>
          <w:p w14:paraId="4261CE3E" w14:textId="77777777" w:rsidR="002C1026" w:rsidRDefault="002B5024">
            <w:pPr>
              <w:pStyle w:val="TableParagraph"/>
              <w:spacing w:before="187" w:line="247" w:lineRule="auto"/>
              <w:ind w:left="242" w:right="726"/>
            </w:pPr>
            <w:r>
              <w:rPr>
                <w:color w:val="231F20"/>
              </w:rPr>
              <w:t>Risk tiering looks to provide appropriate regulation for gene technologies, ranging from technologies with long histories of safe use through to emerging technologies, according to the risks these technologies pose.</w:t>
            </w:r>
          </w:p>
          <w:p w14:paraId="3D320514" w14:textId="77777777" w:rsidR="002C1026" w:rsidRDefault="002B5024">
            <w:pPr>
              <w:pStyle w:val="TableParagraph"/>
              <w:spacing w:line="247" w:lineRule="auto"/>
              <w:ind w:left="242" w:right="249"/>
            </w:pPr>
            <w:r>
              <w:rPr>
                <w:color w:val="231F20"/>
              </w:rPr>
              <w:t xml:space="preserve">This will ensure regulation remains commensurate with risk, supports </w:t>
            </w:r>
            <w:proofErr w:type="gramStart"/>
            <w:r>
              <w:rPr>
                <w:color w:val="231F20"/>
              </w:rPr>
              <w:t>innovation</w:t>
            </w:r>
            <w:proofErr w:type="gramEnd"/>
            <w:r>
              <w:rPr>
                <w:color w:val="231F20"/>
              </w:rPr>
              <w:t xml:space="preserve"> and reduces unnecessary regulatory burden, while maintaining adequate protections for people and the environment.</w:t>
            </w:r>
          </w:p>
        </w:tc>
      </w:tr>
      <w:tr w:rsidR="002C1026" w14:paraId="71D54897" w14:textId="77777777" w:rsidTr="009659C8">
        <w:trPr>
          <w:trHeight w:val="1982"/>
        </w:trPr>
        <w:tc>
          <w:tcPr>
            <w:tcW w:w="897" w:type="pct"/>
            <w:shd w:val="clear" w:color="auto" w:fill="D3E8C4"/>
          </w:tcPr>
          <w:p w14:paraId="7DA0EF41" w14:textId="77777777" w:rsidR="002C1026" w:rsidRDefault="002B5024">
            <w:pPr>
              <w:pStyle w:val="TableParagraph"/>
              <w:spacing w:before="177" w:line="247" w:lineRule="auto"/>
              <w:rPr>
                <w:b/>
              </w:rPr>
            </w:pPr>
            <w:r>
              <w:rPr>
                <w:b/>
                <w:color w:val="231F20"/>
              </w:rPr>
              <w:lastRenderedPageBreak/>
              <w:t>Regulatory Efficiency</w:t>
            </w:r>
          </w:p>
        </w:tc>
        <w:tc>
          <w:tcPr>
            <w:tcW w:w="2290" w:type="pct"/>
            <w:tcBorders>
              <w:right w:val="nil"/>
            </w:tcBorders>
            <w:shd w:val="clear" w:color="auto" w:fill="D3E8C4"/>
          </w:tcPr>
          <w:p w14:paraId="2207946A" w14:textId="77777777" w:rsidR="002C1026" w:rsidRDefault="002B5024">
            <w:pPr>
              <w:pStyle w:val="TableParagraph"/>
              <w:spacing w:before="177" w:line="247" w:lineRule="auto"/>
              <w:ind w:right="220"/>
            </w:pPr>
            <w:r>
              <w:rPr>
                <w:b/>
                <w:color w:val="231F20"/>
                <w:spacing w:val="-3"/>
              </w:rPr>
              <w:t xml:space="preserve">Recommendation </w:t>
            </w:r>
            <w:r>
              <w:rPr>
                <w:b/>
                <w:color w:val="231F20"/>
              </w:rPr>
              <w:t xml:space="preserve">10: </w:t>
            </w:r>
            <w:r>
              <w:rPr>
                <w:color w:val="231F20"/>
              </w:rPr>
              <w:t xml:space="preserve">The </w:t>
            </w:r>
            <w:r>
              <w:rPr>
                <w:color w:val="231F20"/>
                <w:spacing w:val="-3"/>
              </w:rPr>
              <w:t xml:space="preserve">Review recommends reducing regulatory burden through streamlining processes </w:t>
            </w:r>
            <w:r>
              <w:rPr>
                <w:color w:val="231F20"/>
              </w:rPr>
              <w:t xml:space="preserve">and </w:t>
            </w:r>
            <w:r>
              <w:rPr>
                <w:color w:val="231F20"/>
                <w:spacing w:val="-3"/>
              </w:rPr>
              <w:t xml:space="preserve">current regulatory requirements where appropriate. </w:t>
            </w:r>
            <w:r>
              <w:rPr>
                <w:color w:val="231F20"/>
              </w:rPr>
              <w:t xml:space="preserve">For </w:t>
            </w:r>
            <w:r>
              <w:rPr>
                <w:color w:val="231F20"/>
                <w:spacing w:val="-3"/>
              </w:rPr>
              <w:t xml:space="preserve">example, this </w:t>
            </w:r>
            <w:r>
              <w:rPr>
                <w:color w:val="231F20"/>
              </w:rPr>
              <w:t xml:space="preserve">may </w:t>
            </w:r>
            <w:r>
              <w:rPr>
                <w:color w:val="231F20"/>
                <w:spacing w:val="-3"/>
              </w:rPr>
              <w:t xml:space="preserve">include streamlining facility certifications </w:t>
            </w:r>
            <w:r>
              <w:rPr>
                <w:color w:val="231F20"/>
              </w:rPr>
              <w:t xml:space="preserve">and </w:t>
            </w:r>
            <w:r>
              <w:rPr>
                <w:color w:val="231F20"/>
                <w:spacing w:val="-3"/>
              </w:rPr>
              <w:t>application processes.</w:t>
            </w:r>
          </w:p>
        </w:tc>
        <w:tc>
          <w:tcPr>
            <w:tcW w:w="1813" w:type="pct"/>
            <w:tcBorders>
              <w:left w:val="nil"/>
            </w:tcBorders>
            <w:shd w:val="clear" w:color="auto" w:fill="D3E8C4"/>
          </w:tcPr>
          <w:p w14:paraId="17D56D78" w14:textId="77777777" w:rsidR="002C1026" w:rsidRDefault="002B5024">
            <w:pPr>
              <w:pStyle w:val="TableParagraph"/>
              <w:spacing w:before="177" w:line="247" w:lineRule="auto"/>
              <w:ind w:left="242" w:right="274"/>
            </w:pPr>
            <w:r>
              <w:rPr>
                <w:color w:val="231F20"/>
              </w:rPr>
              <w:t>Recommendation 10 of the Review seeks to reduce regulatory burden through streamlining processes and current regulatory requirements where appropriate. Linked to the risk tiering recommendation.</w:t>
            </w:r>
          </w:p>
        </w:tc>
      </w:tr>
    </w:tbl>
    <w:p w14:paraId="4FDA5251" w14:textId="77777777" w:rsidR="002C1026" w:rsidRDefault="002B5024" w:rsidP="00437E2B">
      <w:pPr>
        <w:pStyle w:val="Heading2"/>
      </w:pPr>
      <w:r>
        <w:t>Consultation:</w:t>
      </w:r>
    </w:p>
    <w:p w14:paraId="0594C53F" w14:textId="77777777" w:rsidR="002C1026" w:rsidRDefault="002B5024" w:rsidP="00437E2B">
      <w:r>
        <w:t xml:space="preserve">During </w:t>
      </w:r>
      <w:r>
        <w:rPr>
          <w:spacing w:val="-4"/>
        </w:rPr>
        <w:t xml:space="preserve">2019, </w:t>
      </w:r>
      <w:r>
        <w:t xml:space="preserve">discussion/options papers </w:t>
      </w:r>
      <w:r>
        <w:rPr>
          <w:spacing w:val="-4"/>
        </w:rPr>
        <w:t xml:space="preserve">will </w:t>
      </w:r>
      <w:r>
        <w:rPr>
          <w:spacing w:val="-3"/>
        </w:rPr>
        <w:t xml:space="preserve">be </w:t>
      </w:r>
      <w:r>
        <w:t xml:space="preserve">developed </w:t>
      </w:r>
      <w:r>
        <w:rPr>
          <w:spacing w:val="-3"/>
        </w:rPr>
        <w:t xml:space="preserve">to </w:t>
      </w:r>
      <w:r>
        <w:t xml:space="preserve">inform further development </w:t>
      </w:r>
      <w:r>
        <w:rPr>
          <w:spacing w:val="-3"/>
        </w:rPr>
        <w:t xml:space="preserve">of </w:t>
      </w:r>
      <w:r>
        <w:rPr>
          <w:spacing w:val="-4"/>
        </w:rPr>
        <w:t xml:space="preserve">the </w:t>
      </w:r>
      <w:r>
        <w:t xml:space="preserve">Action </w:t>
      </w:r>
      <w:r>
        <w:rPr>
          <w:spacing w:val="-4"/>
        </w:rPr>
        <w:t xml:space="preserve">Plan </w:t>
      </w:r>
      <w:r>
        <w:rPr>
          <w:spacing w:val="-3"/>
        </w:rPr>
        <w:t xml:space="preserve">on </w:t>
      </w:r>
      <w:r>
        <w:rPr>
          <w:spacing w:val="-4"/>
        </w:rPr>
        <w:t xml:space="preserve">the </w:t>
      </w:r>
      <w:r>
        <w:t xml:space="preserve">priority </w:t>
      </w:r>
      <w:r>
        <w:rPr>
          <w:spacing w:val="-4"/>
        </w:rPr>
        <w:t xml:space="preserve">areas </w:t>
      </w:r>
      <w:r>
        <w:t xml:space="preserve">identified. </w:t>
      </w:r>
      <w:r>
        <w:rPr>
          <w:spacing w:val="-4"/>
        </w:rPr>
        <w:t xml:space="preserve">These </w:t>
      </w:r>
      <w:r>
        <w:t xml:space="preserve">discussion papers </w:t>
      </w:r>
      <w:r>
        <w:rPr>
          <w:spacing w:val="-4"/>
        </w:rPr>
        <w:t xml:space="preserve">will also seek </w:t>
      </w:r>
      <w:r>
        <w:rPr>
          <w:spacing w:val="-3"/>
        </w:rPr>
        <w:t xml:space="preserve">to </w:t>
      </w:r>
      <w:r>
        <w:t xml:space="preserve">address intersecting recommendations </w:t>
      </w:r>
      <w:r>
        <w:rPr>
          <w:spacing w:val="-4"/>
        </w:rPr>
        <w:t xml:space="preserve">where </w:t>
      </w:r>
      <w:r>
        <w:t>relevant.</w:t>
      </w:r>
    </w:p>
    <w:p w14:paraId="375FB0DE" w14:textId="77777777" w:rsidR="002C1026" w:rsidRDefault="002B5024" w:rsidP="00437E2B">
      <w:r>
        <w:t>It is anticipated that these discussion papers will provide the foundation for further consultation with stakeholders. Consistent with the conduct of the Review of the Scheme, a range of consultation mechanisms and approaches will be used.</w:t>
      </w:r>
    </w:p>
    <w:p w14:paraId="6D110A37" w14:textId="77777777" w:rsidR="002C1026" w:rsidRDefault="002B5024" w:rsidP="00437E2B">
      <w:pPr>
        <w:pStyle w:val="Heading2"/>
      </w:pPr>
      <w:r>
        <w:t>Contact Information:</w:t>
      </w:r>
    </w:p>
    <w:p w14:paraId="4280A253" w14:textId="6DC9DE30" w:rsidR="002C1026" w:rsidRPr="00A5044F" w:rsidRDefault="002B5024" w:rsidP="00437E2B">
      <w:r>
        <w:t xml:space="preserve">Please email </w:t>
      </w:r>
      <w:hyperlink r:id="rId9">
        <w:r>
          <w:t xml:space="preserve">gene.technology.secretariat@health.gov.au </w:t>
        </w:r>
      </w:hyperlink>
      <w:r>
        <w:t>or telephone 02 6289 2033 should you have any questions.</w:t>
      </w:r>
    </w:p>
    <w:sectPr w:rsidR="002C1026" w:rsidRPr="00A5044F" w:rsidSect="009E410C">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E01AF"/>
    <w:multiLevelType w:val="hybridMultilevel"/>
    <w:tmpl w:val="A2DEA5F8"/>
    <w:lvl w:ilvl="0" w:tplc="A7F29C38">
      <w:start w:val="1"/>
      <w:numFmt w:val="lowerLetter"/>
      <w:lvlText w:val="%1)"/>
      <w:lvlJc w:val="left"/>
      <w:pPr>
        <w:ind w:left="236" w:hanging="251"/>
        <w:jc w:val="left"/>
      </w:pPr>
      <w:rPr>
        <w:rFonts w:ascii="Arial" w:eastAsia="Arial" w:hAnsi="Arial" w:cs="Arial" w:hint="default"/>
        <w:color w:val="231F20"/>
        <w:spacing w:val="-3"/>
        <w:w w:val="100"/>
        <w:sz w:val="22"/>
        <w:szCs w:val="22"/>
        <w:lang w:val="en-US" w:eastAsia="en-US" w:bidi="en-US"/>
      </w:rPr>
    </w:lvl>
    <w:lvl w:ilvl="1" w:tplc="91920262">
      <w:numFmt w:val="bullet"/>
      <w:lvlText w:val="•"/>
      <w:lvlJc w:val="left"/>
      <w:pPr>
        <w:ind w:left="733" w:hanging="251"/>
      </w:pPr>
      <w:rPr>
        <w:rFonts w:hint="default"/>
        <w:lang w:val="en-US" w:eastAsia="en-US" w:bidi="en-US"/>
      </w:rPr>
    </w:lvl>
    <w:lvl w:ilvl="2" w:tplc="B6149E88">
      <w:numFmt w:val="bullet"/>
      <w:lvlText w:val="•"/>
      <w:lvlJc w:val="left"/>
      <w:pPr>
        <w:ind w:left="1226" w:hanging="251"/>
      </w:pPr>
      <w:rPr>
        <w:rFonts w:hint="default"/>
        <w:lang w:val="en-US" w:eastAsia="en-US" w:bidi="en-US"/>
      </w:rPr>
    </w:lvl>
    <w:lvl w:ilvl="3" w:tplc="3104B554">
      <w:numFmt w:val="bullet"/>
      <w:lvlText w:val="•"/>
      <w:lvlJc w:val="left"/>
      <w:pPr>
        <w:ind w:left="1720" w:hanging="251"/>
      </w:pPr>
      <w:rPr>
        <w:rFonts w:hint="default"/>
        <w:lang w:val="en-US" w:eastAsia="en-US" w:bidi="en-US"/>
      </w:rPr>
    </w:lvl>
    <w:lvl w:ilvl="4" w:tplc="E92A804A">
      <w:numFmt w:val="bullet"/>
      <w:lvlText w:val="•"/>
      <w:lvlJc w:val="left"/>
      <w:pPr>
        <w:ind w:left="2213" w:hanging="251"/>
      </w:pPr>
      <w:rPr>
        <w:rFonts w:hint="default"/>
        <w:lang w:val="en-US" w:eastAsia="en-US" w:bidi="en-US"/>
      </w:rPr>
    </w:lvl>
    <w:lvl w:ilvl="5" w:tplc="06A68834">
      <w:numFmt w:val="bullet"/>
      <w:lvlText w:val="•"/>
      <w:lvlJc w:val="left"/>
      <w:pPr>
        <w:ind w:left="2707" w:hanging="251"/>
      </w:pPr>
      <w:rPr>
        <w:rFonts w:hint="default"/>
        <w:lang w:val="en-US" w:eastAsia="en-US" w:bidi="en-US"/>
      </w:rPr>
    </w:lvl>
    <w:lvl w:ilvl="6" w:tplc="DD4E9D70">
      <w:numFmt w:val="bullet"/>
      <w:lvlText w:val="•"/>
      <w:lvlJc w:val="left"/>
      <w:pPr>
        <w:ind w:left="3200" w:hanging="251"/>
      </w:pPr>
      <w:rPr>
        <w:rFonts w:hint="default"/>
        <w:lang w:val="en-US" w:eastAsia="en-US" w:bidi="en-US"/>
      </w:rPr>
    </w:lvl>
    <w:lvl w:ilvl="7" w:tplc="701C7858">
      <w:numFmt w:val="bullet"/>
      <w:lvlText w:val="•"/>
      <w:lvlJc w:val="left"/>
      <w:pPr>
        <w:ind w:left="3693" w:hanging="251"/>
      </w:pPr>
      <w:rPr>
        <w:rFonts w:hint="default"/>
        <w:lang w:val="en-US" w:eastAsia="en-US" w:bidi="en-US"/>
      </w:rPr>
    </w:lvl>
    <w:lvl w:ilvl="8" w:tplc="368C143C">
      <w:numFmt w:val="bullet"/>
      <w:lvlText w:val="•"/>
      <w:lvlJc w:val="left"/>
      <w:pPr>
        <w:ind w:left="4187" w:hanging="251"/>
      </w:pPr>
      <w:rPr>
        <w:rFonts w:hint="default"/>
        <w:lang w:val="en-US" w:eastAsia="en-US" w:bidi="en-US"/>
      </w:rPr>
    </w:lvl>
  </w:abstractNum>
  <w:abstractNum w:abstractNumId="1" w15:restartNumberingAfterBreak="0">
    <w:nsid w:val="3F2F2D40"/>
    <w:multiLevelType w:val="hybridMultilevel"/>
    <w:tmpl w:val="58D678DA"/>
    <w:lvl w:ilvl="0" w:tplc="CD12D5E4">
      <w:start w:val="1"/>
      <w:numFmt w:val="lowerLetter"/>
      <w:lvlText w:val="%1)"/>
      <w:lvlJc w:val="left"/>
      <w:pPr>
        <w:ind w:left="236" w:hanging="251"/>
        <w:jc w:val="left"/>
      </w:pPr>
      <w:rPr>
        <w:rFonts w:ascii="Arial" w:eastAsia="Arial" w:hAnsi="Arial" w:cs="Arial" w:hint="default"/>
        <w:color w:val="231F20"/>
        <w:spacing w:val="-3"/>
        <w:w w:val="100"/>
        <w:sz w:val="22"/>
        <w:szCs w:val="22"/>
        <w:lang w:val="en-US" w:eastAsia="en-US" w:bidi="en-US"/>
      </w:rPr>
    </w:lvl>
    <w:lvl w:ilvl="1" w:tplc="4080F778">
      <w:numFmt w:val="bullet"/>
      <w:lvlText w:val="•"/>
      <w:lvlJc w:val="left"/>
      <w:pPr>
        <w:ind w:left="733" w:hanging="251"/>
      </w:pPr>
      <w:rPr>
        <w:rFonts w:hint="default"/>
        <w:lang w:val="en-US" w:eastAsia="en-US" w:bidi="en-US"/>
      </w:rPr>
    </w:lvl>
    <w:lvl w:ilvl="2" w:tplc="44D4E87C">
      <w:numFmt w:val="bullet"/>
      <w:lvlText w:val="•"/>
      <w:lvlJc w:val="left"/>
      <w:pPr>
        <w:ind w:left="1226" w:hanging="251"/>
      </w:pPr>
      <w:rPr>
        <w:rFonts w:hint="default"/>
        <w:lang w:val="en-US" w:eastAsia="en-US" w:bidi="en-US"/>
      </w:rPr>
    </w:lvl>
    <w:lvl w:ilvl="3" w:tplc="98F207E4">
      <w:numFmt w:val="bullet"/>
      <w:lvlText w:val="•"/>
      <w:lvlJc w:val="left"/>
      <w:pPr>
        <w:ind w:left="1720" w:hanging="251"/>
      </w:pPr>
      <w:rPr>
        <w:rFonts w:hint="default"/>
        <w:lang w:val="en-US" w:eastAsia="en-US" w:bidi="en-US"/>
      </w:rPr>
    </w:lvl>
    <w:lvl w:ilvl="4" w:tplc="0B728512">
      <w:numFmt w:val="bullet"/>
      <w:lvlText w:val="•"/>
      <w:lvlJc w:val="left"/>
      <w:pPr>
        <w:ind w:left="2213" w:hanging="251"/>
      </w:pPr>
      <w:rPr>
        <w:rFonts w:hint="default"/>
        <w:lang w:val="en-US" w:eastAsia="en-US" w:bidi="en-US"/>
      </w:rPr>
    </w:lvl>
    <w:lvl w:ilvl="5" w:tplc="99F49DD0">
      <w:numFmt w:val="bullet"/>
      <w:lvlText w:val="•"/>
      <w:lvlJc w:val="left"/>
      <w:pPr>
        <w:ind w:left="2707" w:hanging="251"/>
      </w:pPr>
      <w:rPr>
        <w:rFonts w:hint="default"/>
        <w:lang w:val="en-US" w:eastAsia="en-US" w:bidi="en-US"/>
      </w:rPr>
    </w:lvl>
    <w:lvl w:ilvl="6" w:tplc="D876A20C">
      <w:numFmt w:val="bullet"/>
      <w:lvlText w:val="•"/>
      <w:lvlJc w:val="left"/>
      <w:pPr>
        <w:ind w:left="3200" w:hanging="251"/>
      </w:pPr>
      <w:rPr>
        <w:rFonts w:hint="default"/>
        <w:lang w:val="en-US" w:eastAsia="en-US" w:bidi="en-US"/>
      </w:rPr>
    </w:lvl>
    <w:lvl w:ilvl="7" w:tplc="2CAE834A">
      <w:numFmt w:val="bullet"/>
      <w:lvlText w:val="•"/>
      <w:lvlJc w:val="left"/>
      <w:pPr>
        <w:ind w:left="3693" w:hanging="251"/>
      </w:pPr>
      <w:rPr>
        <w:rFonts w:hint="default"/>
        <w:lang w:val="en-US" w:eastAsia="en-US" w:bidi="en-US"/>
      </w:rPr>
    </w:lvl>
    <w:lvl w:ilvl="8" w:tplc="531E3586">
      <w:numFmt w:val="bullet"/>
      <w:lvlText w:val="•"/>
      <w:lvlJc w:val="left"/>
      <w:pPr>
        <w:ind w:left="4187" w:hanging="251"/>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026"/>
    <w:rsid w:val="002B5024"/>
    <w:rsid w:val="002C1026"/>
    <w:rsid w:val="00437E2B"/>
    <w:rsid w:val="009659C8"/>
    <w:rsid w:val="009E410C"/>
    <w:rsid w:val="00A5044F"/>
    <w:rsid w:val="00CF12E1"/>
    <w:rsid w:val="00FF6F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E39B"/>
  <w15:docId w15:val="{259488B5-0360-48F2-B7AD-1444A769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7E2B"/>
    <w:pPr>
      <w:widowControl/>
      <w:autoSpaceDE/>
      <w:autoSpaceDN/>
      <w:spacing w:before="120" w:after="120" w:line="276" w:lineRule="auto"/>
    </w:pPr>
    <w:rPr>
      <w:rFonts w:ascii="Arial" w:eastAsia="Times New Roman" w:hAnsi="Arial" w:cs="Times New Roman"/>
      <w:color w:val="000000" w:themeColor="text1"/>
      <w:szCs w:val="24"/>
      <w:lang w:val="en-AU"/>
    </w:rPr>
  </w:style>
  <w:style w:type="paragraph" w:styleId="Heading1">
    <w:name w:val="heading 1"/>
    <w:next w:val="Normal"/>
    <w:qFormat/>
    <w:rsid w:val="00437E2B"/>
    <w:pPr>
      <w:keepNext/>
      <w:widowControl/>
      <w:autoSpaceDE/>
      <w:autoSpaceDN/>
      <w:spacing w:before="240" w:after="60"/>
      <w:outlineLvl w:val="0"/>
    </w:pPr>
    <w:rPr>
      <w:rFonts w:ascii="Arial" w:eastAsia="Times New Roman" w:hAnsi="Arial" w:cs="Arial"/>
      <w:b/>
      <w:bCs/>
      <w:color w:val="00635B"/>
      <w:kern w:val="28"/>
      <w:sz w:val="44"/>
      <w:szCs w:val="36"/>
      <w:lang w:val="en-AU"/>
    </w:rPr>
  </w:style>
  <w:style w:type="paragraph" w:styleId="Heading2">
    <w:name w:val="heading 2"/>
    <w:next w:val="Normal"/>
    <w:link w:val="Heading2Char"/>
    <w:qFormat/>
    <w:rsid w:val="00437E2B"/>
    <w:pPr>
      <w:keepNext/>
      <w:widowControl/>
      <w:autoSpaceDE/>
      <w:autoSpaceDN/>
      <w:spacing w:before="240" w:after="60"/>
      <w:outlineLvl w:val="1"/>
    </w:pPr>
    <w:rPr>
      <w:rFonts w:ascii="Arial" w:eastAsia="Times New Roman" w:hAnsi="Arial" w:cs="Arial"/>
      <w:b/>
      <w:bCs/>
      <w:iCs/>
      <w:color w:val="008576"/>
      <w:sz w:val="36"/>
      <w:szCs w:val="28"/>
      <w:lang w:val="en-AU"/>
    </w:rPr>
  </w:style>
  <w:style w:type="paragraph" w:styleId="Heading3">
    <w:name w:val="heading 3"/>
    <w:next w:val="Normal"/>
    <w:link w:val="Heading3Char"/>
    <w:qFormat/>
    <w:rsid w:val="00437E2B"/>
    <w:pPr>
      <w:keepNext/>
      <w:widowControl/>
      <w:autoSpaceDE/>
      <w:autoSpaceDN/>
      <w:spacing w:before="180" w:after="60"/>
      <w:outlineLvl w:val="2"/>
    </w:pPr>
    <w:rPr>
      <w:rFonts w:ascii="Arial" w:eastAsia="Times New Roman" w:hAnsi="Arial" w:cs="Arial"/>
      <w:b/>
      <w:bCs/>
      <w:color w:val="358189"/>
      <w:sz w:val="32"/>
      <w:szCs w:val="26"/>
      <w:lang w:val="en-AU"/>
    </w:rPr>
  </w:style>
  <w:style w:type="paragraph" w:styleId="Heading4">
    <w:name w:val="heading 4"/>
    <w:next w:val="Normal"/>
    <w:link w:val="Heading4Char"/>
    <w:qFormat/>
    <w:rsid w:val="00437E2B"/>
    <w:pPr>
      <w:keepNext/>
      <w:widowControl/>
      <w:autoSpaceDE/>
      <w:autoSpaceDN/>
      <w:spacing w:before="240" w:after="60"/>
      <w:outlineLvl w:val="3"/>
    </w:pPr>
    <w:rPr>
      <w:rFonts w:ascii="Arial" w:eastAsia="Times New Roman" w:hAnsi="Arial" w:cs="Times New Roman"/>
      <w:b/>
      <w:bCs/>
      <w:i/>
      <w:color w:val="C0504D" w:themeColor="accent2"/>
      <w:sz w:val="28"/>
      <w:szCs w:val="28"/>
      <w:lang w:val="en-AU"/>
    </w:rPr>
  </w:style>
  <w:style w:type="paragraph" w:styleId="Heading5">
    <w:name w:val="heading 5"/>
    <w:next w:val="Normal"/>
    <w:link w:val="Heading5Char"/>
    <w:rsid w:val="00437E2B"/>
    <w:pPr>
      <w:keepNext/>
      <w:widowControl/>
      <w:autoSpaceDE/>
      <w:autoSpaceDN/>
      <w:spacing w:before="240" w:after="60"/>
      <w:outlineLvl w:val="4"/>
    </w:pPr>
    <w:rPr>
      <w:rFonts w:ascii="Arial" w:eastAsia="Times New Roman" w:hAnsi="Arial" w:cs="Times New Roman"/>
      <w:b/>
      <w:bCs/>
      <w:iCs/>
      <w:color w:val="C0504D" w:themeColor="accent2"/>
      <w:sz w:val="24"/>
      <w:szCs w:val="26"/>
      <w:lang w:val="en-AU"/>
    </w:rPr>
  </w:style>
  <w:style w:type="paragraph" w:styleId="Heading6">
    <w:name w:val="heading 6"/>
    <w:next w:val="Normal"/>
    <w:link w:val="Heading6Char"/>
    <w:rsid w:val="00437E2B"/>
    <w:pPr>
      <w:keepNext/>
      <w:widowControl/>
      <w:autoSpaceDE/>
      <w:autoSpaceDN/>
      <w:spacing w:before="240" w:after="60"/>
      <w:outlineLvl w:val="5"/>
    </w:pPr>
    <w:rPr>
      <w:rFonts w:ascii="Arial" w:eastAsia="Times New Roman" w:hAnsi="Arial" w:cs="Times New Roman"/>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236"/>
    </w:pPr>
  </w:style>
  <w:style w:type="character" w:customStyle="1" w:styleId="Heading2Char">
    <w:name w:val="Heading 2 Char"/>
    <w:basedOn w:val="DefaultParagraphFont"/>
    <w:link w:val="Heading2"/>
    <w:rsid w:val="00437E2B"/>
    <w:rPr>
      <w:rFonts w:ascii="Arial" w:eastAsia="Times New Roman" w:hAnsi="Arial" w:cs="Arial"/>
      <w:b/>
      <w:bCs/>
      <w:iCs/>
      <w:color w:val="008576"/>
      <w:sz w:val="36"/>
      <w:szCs w:val="28"/>
      <w:lang w:val="en-AU"/>
    </w:rPr>
  </w:style>
  <w:style w:type="character" w:customStyle="1" w:styleId="Heading3Char">
    <w:name w:val="Heading 3 Char"/>
    <w:basedOn w:val="DefaultParagraphFont"/>
    <w:link w:val="Heading3"/>
    <w:rsid w:val="00437E2B"/>
    <w:rPr>
      <w:rFonts w:ascii="Arial" w:eastAsia="Times New Roman" w:hAnsi="Arial" w:cs="Arial"/>
      <w:b/>
      <w:bCs/>
      <w:color w:val="358189"/>
      <w:sz w:val="32"/>
      <w:szCs w:val="26"/>
      <w:lang w:val="en-AU"/>
    </w:rPr>
  </w:style>
  <w:style w:type="character" w:customStyle="1" w:styleId="Heading4Char">
    <w:name w:val="Heading 4 Char"/>
    <w:basedOn w:val="DefaultParagraphFont"/>
    <w:link w:val="Heading4"/>
    <w:rsid w:val="00437E2B"/>
    <w:rPr>
      <w:rFonts w:ascii="Arial" w:eastAsia="Times New Roman" w:hAnsi="Arial" w:cs="Times New Roman"/>
      <w:b/>
      <w:bCs/>
      <w:i/>
      <w:color w:val="C0504D" w:themeColor="accent2"/>
      <w:sz w:val="28"/>
      <w:szCs w:val="28"/>
      <w:lang w:val="en-AU"/>
    </w:rPr>
  </w:style>
  <w:style w:type="character" w:customStyle="1" w:styleId="Heading5Char">
    <w:name w:val="Heading 5 Char"/>
    <w:basedOn w:val="DefaultParagraphFont"/>
    <w:link w:val="Heading5"/>
    <w:rsid w:val="00437E2B"/>
    <w:rPr>
      <w:rFonts w:ascii="Arial" w:eastAsia="Times New Roman" w:hAnsi="Arial" w:cs="Times New Roman"/>
      <w:b/>
      <w:bCs/>
      <w:iCs/>
      <w:color w:val="C0504D" w:themeColor="accent2"/>
      <w:sz w:val="24"/>
      <w:szCs w:val="26"/>
      <w:lang w:val="en-AU"/>
    </w:rPr>
  </w:style>
  <w:style w:type="character" w:customStyle="1" w:styleId="Heading6Char">
    <w:name w:val="Heading 6 Char"/>
    <w:basedOn w:val="DefaultParagraphFont"/>
    <w:link w:val="Heading6"/>
    <w:rsid w:val="00437E2B"/>
    <w:rPr>
      <w:rFonts w:ascii="Arial" w:eastAsia="Times New Roman" w:hAnsi="Arial" w:cs="Times New Roman"/>
      <w:b/>
      <w:bCs/>
      <w:lang w:val="en-AU"/>
    </w:rPr>
  </w:style>
  <w:style w:type="paragraph" w:styleId="NoSpacing">
    <w:name w:val="No Spacing"/>
    <w:uiPriority w:val="1"/>
    <w:rsid w:val="00437E2B"/>
    <w:pPr>
      <w:widowControl/>
      <w:autoSpaceDE/>
      <w:autoSpaceDN/>
    </w:pPr>
    <w:rPr>
      <w:rFonts w:ascii="Times New Roman" w:eastAsia="Times New Roman" w:hAnsi="Times New Roman" w:cs="Times New Roman"/>
      <w:sz w:val="24"/>
      <w:szCs w:val="24"/>
      <w:lang w:val="en-AU"/>
    </w:rPr>
  </w:style>
  <w:style w:type="character" w:styleId="Emphasis">
    <w:name w:val="Emphasis"/>
    <w:basedOn w:val="DefaultParagraphFont"/>
    <w:uiPriority w:val="20"/>
    <w:qFormat/>
    <w:rsid w:val="00437E2B"/>
    <w:rPr>
      <w:i/>
      <w:iCs/>
    </w:rPr>
  </w:style>
  <w:style w:type="character" w:styleId="IntenseEmphasis">
    <w:name w:val="Intense Emphasis"/>
    <w:basedOn w:val="DefaultParagraphFont"/>
    <w:uiPriority w:val="21"/>
    <w:qFormat/>
    <w:rsid w:val="00437E2B"/>
    <w:rPr>
      <w:i/>
      <w:iCs/>
      <w:color w:val="4F81BD" w:themeColor="accent1"/>
    </w:rPr>
  </w:style>
  <w:style w:type="character" w:styleId="Strong">
    <w:name w:val="Strong"/>
    <w:basedOn w:val="DefaultParagraphFont"/>
    <w:uiPriority w:val="22"/>
    <w:qFormat/>
    <w:rsid w:val="00437E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gene.technology.secretariat@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Reviewer xmlns="dcf7b372-aaaa-46d8-9da6-ade9aab953df" xsi:nil="true"/>
    <_Flow_SignoffStatus xmlns="dcf7b372-aaaa-46d8-9da6-ade9aab953d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21" ma:contentTypeDescription="Create a new document." ma:contentTypeScope="" ma:versionID="49fa7757e6726fda11e78d34f74df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d87a37fdcbbf7bed00bd15239a901d05"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Reviewer"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26DBD-8B4B-415A-814E-B699F8AAB3F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236487dd-ec90-4f99-8970-1318e5f29791"/>
    <ds:schemaRef ds:uri="dcf7b372-aaaa-46d8-9da6-ade9aab953df"/>
    <ds:schemaRef ds:uri="http://www.w3.org/XML/1998/namespace"/>
  </ds:schemaRefs>
</ds:datastoreItem>
</file>

<file path=customXml/itemProps2.xml><?xml version="1.0" encoding="utf-8"?>
<ds:datastoreItem xmlns:ds="http://schemas.openxmlformats.org/officeDocument/2006/customXml" ds:itemID="{0FE98088-4101-4299-9AD4-74841735C741}">
  <ds:schemaRefs>
    <ds:schemaRef ds:uri="http://schemas.openxmlformats.org/officeDocument/2006/bibliography"/>
  </ds:schemaRefs>
</ds:datastoreItem>
</file>

<file path=customXml/itemProps3.xml><?xml version="1.0" encoding="utf-8"?>
<ds:datastoreItem xmlns:ds="http://schemas.openxmlformats.org/officeDocument/2006/customXml" ds:itemID="{AE796173-EC60-4FEB-8EB2-649C986AF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D57C6-D2CC-4678-9190-9E16501CC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review – Implementation strategy</dc:title>
  <dc:subject>Gene technology</dc:subject>
  <dc:creator>National Gene Technology Scheme</dc:creator>
  <cp:keywords>Third review</cp:keywords>
  <cp:lastModifiedBy>MCCAY, Meryl</cp:lastModifiedBy>
  <cp:revision>4</cp:revision>
  <dcterms:created xsi:type="dcterms:W3CDTF">2022-02-14T06:07:00Z</dcterms:created>
  <dcterms:modified xsi:type="dcterms:W3CDTF">2022-02-14T06:21:00Z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2019-05-06T00:00:00Z</vt:filetime>
  </property>
  <property fmtid="{D5CDD505-2E9C-101B-9397-08002B2CF9AE}" pid="3" name="Creator">
    <vt:lpwstr>Adobe InDesign CC 14.0 (Macintosh)</vt:lpwstr>
  </property>
  <property fmtid="{D5CDD505-2E9C-101B-9397-08002B2CF9AE}" pid="4" name="LastSaved">
    <vt:filetime>2019-06-28T00:00:00Z</vt:filetime>
  </property>
  <property fmtid="{D5CDD505-2E9C-101B-9397-08002B2CF9AE}" pid="5" name="ContentTypeId">
    <vt:lpwstr>0x010100BA217076F0871349BCBE5A6EC7EEC4B3</vt:lpwstr>
  </property>
</Properties>
</file>