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69738" w14:textId="4491A9C9" w:rsidR="009F24ED" w:rsidRPr="00AD7810" w:rsidRDefault="006D6768" w:rsidP="00B95774">
      <w:pPr>
        <w:spacing w:before="240"/>
        <w:jc w:val="both"/>
      </w:pPr>
      <w:r w:rsidRPr="00AD7810">
        <w:t>Queensland University of Technology (QU</w:t>
      </w:r>
      <w:r w:rsidR="00590AA3" w:rsidRPr="00AD7810">
        <w:t>T</w:t>
      </w:r>
      <w:r w:rsidRPr="00AD7810">
        <w:t>)</w:t>
      </w:r>
      <w:r w:rsidR="00590AA3" w:rsidRPr="00AD7810">
        <w:t xml:space="preserve"> is grateful for the opportunity to </w:t>
      </w:r>
      <w:r w:rsidR="00C324F5" w:rsidRPr="00AD7810">
        <w:t xml:space="preserve">provide feedback on the </w:t>
      </w:r>
      <w:r w:rsidR="00590AA3" w:rsidRPr="00AD7810">
        <w:t>Consultation Regulatory Impact Statement (</w:t>
      </w:r>
      <w:r w:rsidR="008D44A8" w:rsidRPr="00AD7810">
        <w:t xml:space="preserve">consultation </w:t>
      </w:r>
      <w:r w:rsidR="00590AA3" w:rsidRPr="00AD7810">
        <w:t>RIS) Modernising and future-proofing the National Gene Technology Scheme</w:t>
      </w:r>
      <w:r w:rsidRPr="00AD7810">
        <w:t xml:space="preserve">. </w:t>
      </w:r>
      <w:r w:rsidR="0028110E" w:rsidRPr="00AD7810">
        <w:t xml:space="preserve">QUT </w:t>
      </w:r>
      <w:r w:rsidR="00397E98" w:rsidRPr="00AD7810">
        <w:t xml:space="preserve">agrees </w:t>
      </w:r>
      <w:r w:rsidR="008D44A8" w:rsidRPr="00AD7810">
        <w:t xml:space="preserve">that a proportionate regulatory model is required, that </w:t>
      </w:r>
      <w:r w:rsidR="00397E98" w:rsidRPr="00AD7810">
        <w:t xml:space="preserve">is flexible, streamlined, </w:t>
      </w:r>
      <w:r w:rsidR="00846D41" w:rsidRPr="00AD7810">
        <w:t xml:space="preserve">and able to adapt </w:t>
      </w:r>
      <w:r w:rsidR="00305878" w:rsidRPr="00AD7810">
        <w:t>i</w:t>
      </w:r>
      <w:r w:rsidR="00846D41" w:rsidRPr="00AD7810">
        <w:t xml:space="preserve">n a timely manner to changes </w:t>
      </w:r>
      <w:r w:rsidR="00751212" w:rsidRPr="00AD7810">
        <w:t>in</w:t>
      </w:r>
      <w:r w:rsidR="00846D41" w:rsidRPr="00AD7810">
        <w:t xml:space="preserve"> the</w:t>
      </w:r>
      <w:r w:rsidR="00751212" w:rsidRPr="00AD7810">
        <w:t xml:space="preserve"> field of</w:t>
      </w:r>
      <w:r w:rsidR="00846D41" w:rsidRPr="00AD7810">
        <w:t xml:space="preserve"> gene technology. </w:t>
      </w:r>
      <w:r w:rsidR="00E47389" w:rsidRPr="00AD7810">
        <w:t xml:space="preserve">It is also important that the model is not overly complex so that it can be understood by applicants and IBCs, including lay members. </w:t>
      </w:r>
      <w:r w:rsidR="00E53482" w:rsidRPr="00AD7810">
        <w:t>After consideration of the proposed Options, QUT</w:t>
      </w:r>
      <w:r w:rsidR="00503E48" w:rsidRPr="00AD7810">
        <w:t>’s</w:t>
      </w:r>
      <w:r w:rsidR="00E53482" w:rsidRPr="00AD7810">
        <w:t xml:space="preserve"> preference is Option B: Risk-tiering model</w:t>
      </w:r>
      <w:r w:rsidR="00503E48" w:rsidRPr="00AD7810">
        <w:t>.</w:t>
      </w:r>
      <w:r w:rsidR="00305878" w:rsidRPr="00AD7810">
        <w:t xml:space="preserve"> </w:t>
      </w:r>
      <w:r w:rsidR="000001B2" w:rsidRPr="00AD7810">
        <w:t xml:space="preserve"> </w:t>
      </w:r>
      <w:r w:rsidR="009F24ED" w:rsidRPr="00AD7810">
        <w:t>QUT provide</w:t>
      </w:r>
      <w:r w:rsidR="00A0188E">
        <w:t>s</w:t>
      </w:r>
      <w:r w:rsidR="009F24ED" w:rsidRPr="00AD7810">
        <w:t xml:space="preserve"> the following specific feedback in response to the consultation RIS</w:t>
      </w:r>
      <w:r w:rsidR="009F24ED">
        <w:t xml:space="preserve"> and associated explanatory paper</w:t>
      </w:r>
      <w:r w:rsidR="009F24ED" w:rsidRPr="00AD7810">
        <w:t>.</w:t>
      </w:r>
    </w:p>
    <w:p w14:paraId="031D38B3" w14:textId="4A45121F" w:rsidR="00F310AD" w:rsidRDefault="00624B30" w:rsidP="00FD33A3">
      <w:pPr>
        <w:jc w:val="both"/>
      </w:pPr>
      <w:r>
        <w:t>T</w:t>
      </w:r>
      <w:r w:rsidR="00F310AD" w:rsidRPr="00AD7810">
        <w:t>ime is a key factor in the research sector.</w:t>
      </w:r>
      <w:r w:rsidR="00CE3B9B">
        <w:t xml:space="preserve"> </w:t>
      </w:r>
      <w:r w:rsidR="00F310AD" w:rsidRPr="00AD7810">
        <w:t>Delays obtaining approval affect researchers</w:t>
      </w:r>
      <w:r>
        <w:t>’</w:t>
      </w:r>
      <w:r w:rsidR="00F310AD" w:rsidRPr="00AD7810">
        <w:t xml:space="preserve"> </w:t>
      </w:r>
      <w:r w:rsidR="001D3A40">
        <w:t xml:space="preserve">ability to </w:t>
      </w:r>
      <w:r w:rsidR="00F310AD" w:rsidRPr="00AD7810">
        <w:t>meet</w:t>
      </w:r>
      <w:r w:rsidR="001D3A40">
        <w:t xml:space="preserve"> project</w:t>
      </w:r>
      <w:r w:rsidR="00F310AD" w:rsidRPr="00AD7810">
        <w:t xml:space="preserve"> milestones, obtain grant funding</w:t>
      </w:r>
      <w:r>
        <w:t>,</w:t>
      </w:r>
      <w:r w:rsidR="00F310AD" w:rsidRPr="00AD7810">
        <w:t xml:space="preserve"> and publish </w:t>
      </w:r>
      <w:r w:rsidR="00CE3B9B">
        <w:t>novel research i</w:t>
      </w:r>
      <w:r>
        <w:t>n a highly competitive environment</w:t>
      </w:r>
      <w:r w:rsidR="00F310AD" w:rsidRPr="00AD7810">
        <w:t>.</w:t>
      </w:r>
      <w:r>
        <w:t xml:space="preserve">  Delays also </w:t>
      </w:r>
      <w:r w:rsidR="00CE3B9B">
        <w:t xml:space="preserve">significantly </w:t>
      </w:r>
      <w:r>
        <w:t>impact the candidature of research students.</w:t>
      </w:r>
      <w:r w:rsidR="00AE4399">
        <w:t xml:space="preserve">  </w:t>
      </w:r>
      <w:r w:rsidR="00742B08">
        <w:t>Proposals that increase efficiency and reduce turnaround times</w:t>
      </w:r>
      <w:r w:rsidR="00AE4399">
        <w:t>, are therefore very welcome.</w:t>
      </w:r>
    </w:p>
    <w:p w14:paraId="30B4F86F" w14:textId="237AE8DF" w:rsidR="00085819" w:rsidRDefault="009F24ED" w:rsidP="00FD33A3">
      <w:pPr>
        <w:jc w:val="both"/>
      </w:pPr>
      <w:r>
        <w:t>Organisations will</w:t>
      </w:r>
      <w:r w:rsidR="00742B08">
        <w:t xml:space="preserve"> inevitably</w:t>
      </w:r>
      <w:r>
        <w:t xml:space="preserve"> incur </w:t>
      </w:r>
      <w:r w:rsidR="00742B08">
        <w:t xml:space="preserve">some </w:t>
      </w:r>
      <w:r>
        <w:t xml:space="preserve">costs associated </w:t>
      </w:r>
      <w:r w:rsidR="00F26B58">
        <w:t xml:space="preserve">with </w:t>
      </w:r>
      <w:r>
        <w:t>implement</w:t>
      </w:r>
      <w:r w:rsidR="00742B08">
        <w:t>ing a new system, irrespective of which option is chosen</w:t>
      </w:r>
      <w:r>
        <w:t>. This will include</w:t>
      </w:r>
      <w:r w:rsidR="00742B08">
        <w:t>, for example,</w:t>
      </w:r>
      <w:r>
        <w:t xml:space="preserve"> costs developing detailed guidance and procedures for applicants and the IBC</w:t>
      </w:r>
      <w:r w:rsidR="00742B08">
        <w:t>.</w:t>
      </w:r>
      <w:r w:rsidR="000613EB">
        <w:t xml:space="preserve">  Beyond that, the cost impact will depend on how th</w:t>
      </w:r>
      <w:r w:rsidR="00CE01FD">
        <w:t>e options are implemented</w:t>
      </w:r>
      <w:r w:rsidR="00085819">
        <w:t xml:space="preserve"> in practice.  </w:t>
      </w:r>
    </w:p>
    <w:p w14:paraId="5C7FFEBF" w14:textId="50D0DD33" w:rsidR="009D7F22" w:rsidRDefault="00FE57EF" w:rsidP="009D7F22">
      <w:r>
        <w:t xml:space="preserve">As we understand, Options B and C share key goals:  to better proportion regulation to risk, to find efficiencies, and to future-proof the scheme by allowing greater flexibility. </w:t>
      </w:r>
      <w:r w:rsidR="009D7F22">
        <w:t xml:space="preserve"> The </w:t>
      </w:r>
      <w:r w:rsidR="00503116">
        <w:t>c</w:t>
      </w:r>
      <w:r w:rsidR="009D7F22">
        <w:t>onsultation RIS rightly notes that environmental release is only one determinant of risk, and it is a limitation of the status quo (Option A) that the authorisation pathway is determined in this narrow way. Options B and C therefore take a broader view of risk, and so enable more proportionate methods of authorisation.  </w:t>
      </w:r>
      <w:r w:rsidR="00FD5B90">
        <w:t xml:space="preserve">We prefer option B </w:t>
      </w:r>
      <w:r w:rsidR="00A0188E">
        <w:t xml:space="preserve">to C </w:t>
      </w:r>
      <w:r w:rsidR="00FD5B90">
        <w:t>on the grounds that it appears to allow the greatest flexibility, and therefore the greatest potential to realise benefits in reducing timeframes</w:t>
      </w:r>
      <w:r w:rsidR="00A0188E">
        <w:t>.</w:t>
      </w:r>
    </w:p>
    <w:p w14:paraId="7757D036" w14:textId="36FEEC7E" w:rsidR="00FE57EF" w:rsidRDefault="00FD5B90" w:rsidP="00FE57EF">
      <w:r>
        <w:t xml:space="preserve">However, we have some concerns about </w:t>
      </w:r>
      <w:r w:rsidR="00584B7F">
        <w:t xml:space="preserve">whether </w:t>
      </w:r>
      <w:r w:rsidR="00FA06F8">
        <w:t xml:space="preserve">Options B and C </w:t>
      </w:r>
      <w:r w:rsidR="00EE7878">
        <w:t xml:space="preserve">will require </w:t>
      </w:r>
      <w:r w:rsidR="00E458C2">
        <w:t>organisations</w:t>
      </w:r>
      <w:r w:rsidR="00584B7F">
        <w:t xml:space="preserve"> to undertake more complex </w:t>
      </w:r>
      <w:r w:rsidR="00C83EDF">
        <w:t>decision making</w:t>
      </w:r>
      <w:r w:rsidR="00584B7F">
        <w:t xml:space="preserve"> in advance of submission to the </w:t>
      </w:r>
      <w:r w:rsidR="00E458C2">
        <w:t>R</w:t>
      </w:r>
      <w:r w:rsidR="00584B7F">
        <w:t>egulator.  For example, will we</w:t>
      </w:r>
      <w:r w:rsidR="00CC07C7">
        <w:t xml:space="preserve"> be</w:t>
      </w:r>
      <w:r w:rsidR="00584B7F">
        <w:t xml:space="preserve"> required to identify the correct form </w:t>
      </w:r>
      <w:r w:rsidR="00EE7878">
        <w:t xml:space="preserve">when we </w:t>
      </w:r>
      <w:r w:rsidR="00584B7F">
        <w:t>apply for a permit rather than an expedited approval</w:t>
      </w:r>
      <w:r w:rsidR="00EE7878">
        <w:t xml:space="preserve">? </w:t>
      </w:r>
      <w:r w:rsidR="00584B7F">
        <w:t xml:space="preserve"> We </w:t>
      </w:r>
      <w:r w:rsidR="00467DAF">
        <w:t>may</w:t>
      </w:r>
      <w:r w:rsidR="00584B7F">
        <w:t xml:space="preserve"> incur </w:t>
      </w:r>
      <w:r w:rsidR="00467DAF">
        <w:t xml:space="preserve">additional </w:t>
      </w:r>
      <w:r w:rsidR="00584B7F">
        <w:t xml:space="preserve">costs </w:t>
      </w:r>
      <w:r w:rsidR="00467DAF">
        <w:t xml:space="preserve">and time in </w:t>
      </w:r>
      <w:r w:rsidR="00584B7F">
        <w:t xml:space="preserve">undertaking </w:t>
      </w:r>
      <w:r w:rsidR="0073673C">
        <w:t>these decisions</w:t>
      </w:r>
      <w:r w:rsidR="00956040">
        <w:t>.  Moreover,</w:t>
      </w:r>
      <w:r w:rsidR="00584B7F">
        <w:t xml:space="preserve"> we will incur </w:t>
      </w:r>
      <w:r w:rsidR="008A340D">
        <w:t xml:space="preserve">greater </w:t>
      </w:r>
      <w:r w:rsidR="00584B7F">
        <w:t xml:space="preserve">costs </w:t>
      </w:r>
      <w:proofErr w:type="gramStart"/>
      <w:r w:rsidR="008A340D">
        <w:t>in the event that</w:t>
      </w:r>
      <w:proofErr w:type="gramEnd"/>
      <w:r w:rsidR="008A340D">
        <w:t xml:space="preserve"> we get it wrong and may be </w:t>
      </w:r>
      <w:r w:rsidR="002F05AE">
        <w:t>required to</w:t>
      </w:r>
      <w:r w:rsidR="008A340D">
        <w:t xml:space="preserve"> </w:t>
      </w:r>
      <w:r w:rsidR="002F05AE">
        <w:t xml:space="preserve">resubmit </w:t>
      </w:r>
      <w:r w:rsidR="00186E91">
        <w:t>the</w:t>
      </w:r>
      <w:r w:rsidR="002F05AE">
        <w:t xml:space="preserve"> application on a different form</w:t>
      </w:r>
      <w:r w:rsidR="00186E91">
        <w:t xml:space="preserve"> through a different </w:t>
      </w:r>
      <w:r w:rsidR="008A340D">
        <w:t>pathway</w:t>
      </w:r>
      <w:r w:rsidR="00186E91">
        <w:t>.</w:t>
      </w:r>
      <w:r w:rsidR="00D71581">
        <w:t xml:space="preserve"> </w:t>
      </w:r>
    </w:p>
    <w:p w14:paraId="24301228" w14:textId="452F2BC6" w:rsidR="009F24ED" w:rsidRPr="00B95774" w:rsidRDefault="008A340D" w:rsidP="00B95774">
      <w:pPr>
        <w:spacing w:after="0" w:line="252" w:lineRule="auto"/>
        <w:rPr>
          <w:rFonts w:eastAsia="Times New Roman"/>
        </w:rPr>
      </w:pPr>
      <w:r>
        <w:t>To mitigate these risks,</w:t>
      </w:r>
      <w:r w:rsidR="00A873F6">
        <w:t xml:space="preserve"> it is imperative that the scheme </w:t>
      </w:r>
      <w:r w:rsidR="006C57D0">
        <w:t>provides clear criteria to determine the a</w:t>
      </w:r>
      <w:r w:rsidR="00A873F6">
        <w:t xml:space="preserve">ppropriate pathway.  The explanatory paper states that, “…eligibility criteria for each pathway would be defined through </w:t>
      </w:r>
      <w:r w:rsidR="00A873F6">
        <w:rPr>
          <w:i/>
          <w:iCs/>
        </w:rPr>
        <w:t>specific listings or risk criteria</w:t>
      </w:r>
      <w:r w:rsidR="00A873F6">
        <w:t xml:space="preserve">.”  </w:t>
      </w:r>
      <w:r>
        <w:t xml:space="preserve">This is </w:t>
      </w:r>
      <w:r w:rsidR="00B653B4">
        <w:t xml:space="preserve">crucial.  </w:t>
      </w:r>
      <w:r w:rsidR="006C57D0">
        <w:t xml:space="preserve">These </w:t>
      </w:r>
      <w:r w:rsidR="00A873F6">
        <w:t xml:space="preserve">must be </w:t>
      </w:r>
      <w:r w:rsidR="00956040">
        <w:t>clear and simple</w:t>
      </w:r>
      <w:r w:rsidR="00A873F6">
        <w:t xml:space="preserve"> to “[protect] IBCs and researchers from difficult judgements as to whether a GMO is being dealt with in the right way.”  </w:t>
      </w:r>
    </w:p>
    <w:p w14:paraId="711D1893" w14:textId="2925B4BA" w:rsidR="006C70D8" w:rsidRPr="00B95774" w:rsidRDefault="007453FB" w:rsidP="00B95774">
      <w:pPr>
        <w:pStyle w:val="Heading1"/>
      </w:pPr>
      <w:r w:rsidRPr="00B95774">
        <w:t>D</w:t>
      </w:r>
      <w:r w:rsidR="006C70D8" w:rsidRPr="00B95774">
        <w:t>elegated legislatio</w:t>
      </w:r>
      <w:r w:rsidRPr="00B95774">
        <w:t>n</w:t>
      </w:r>
    </w:p>
    <w:p w14:paraId="5A4F87E2" w14:textId="688E603C" w:rsidR="006C70D8" w:rsidRPr="00AD7810" w:rsidRDefault="00994ADF" w:rsidP="00FD33A3">
      <w:pPr>
        <w:jc w:val="both"/>
      </w:pPr>
      <w:r w:rsidRPr="00AD7810">
        <w:t>We agree that the use of delegated legislation will</w:t>
      </w:r>
      <w:r w:rsidR="006C70D8" w:rsidRPr="00AD7810">
        <w:t xml:space="preserve"> allow </w:t>
      </w:r>
      <w:r w:rsidR="00FE11AA" w:rsidRPr="00AD7810">
        <w:t>for changes to be implemented in a timelier manner</w:t>
      </w:r>
      <w:r w:rsidR="006C70D8" w:rsidRPr="00AD7810">
        <w:t xml:space="preserve">. </w:t>
      </w:r>
      <w:r w:rsidR="00994F48">
        <w:t xml:space="preserve">Currently </w:t>
      </w:r>
      <w:r w:rsidR="00FE11AA" w:rsidRPr="00AD7810">
        <w:t xml:space="preserve">guidance and other documentation </w:t>
      </w:r>
      <w:r w:rsidR="00994F48">
        <w:t>is used to fill the gap</w:t>
      </w:r>
      <w:r w:rsidR="00E32CFA">
        <w:t xml:space="preserve"> </w:t>
      </w:r>
      <w:r w:rsidR="00E61A20" w:rsidRPr="00AD7810">
        <w:t xml:space="preserve">until </w:t>
      </w:r>
      <w:r w:rsidR="00E32CFA">
        <w:t xml:space="preserve">gene technology </w:t>
      </w:r>
      <w:r w:rsidR="00E61A20" w:rsidRPr="00AD7810">
        <w:t>legislation can be updated</w:t>
      </w:r>
      <w:r w:rsidR="0007154E" w:rsidRPr="00AD7810">
        <w:t>, which can cause confusion</w:t>
      </w:r>
      <w:r w:rsidR="00E61A20" w:rsidRPr="00AD7810">
        <w:t xml:space="preserve">. </w:t>
      </w:r>
      <w:r w:rsidR="00F20DCB" w:rsidRPr="00AD7810">
        <w:t xml:space="preserve">Similar models of delegated legislation are used in other government entities, and for the most part work well. </w:t>
      </w:r>
      <w:r w:rsidR="00E61A20" w:rsidRPr="00AD7810">
        <w:t>It is</w:t>
      </w:r>
      <w:r w:rsidR="00FE11AA" w:rsidRPr="00AD7810">
        <w:t xml:space="preserve"> </w:t>
      </w:r>
      <w:r w:rsidR="00E61A20" w:rsidRPr="00AD7810">
        <w:t>i</w:t>
      </w:r>
      <w:r w:rsidR="006C70D8" w:rsidRPr="00AD7810">
        <w:t xml:space="preserve">mportant that </w:t>
      </w:r>
      <w:r w:rsidR="002B5FFA">
        <w:t>the</w:t>
      </w:r>
      <w:r w:rsidR="00E61A20" w:rsidRPr="00AD7810">
        <w:t xml:space="preserve"> </w:t>
      </w:r>
      <w:r w:rsidR="00994F48">
        <w:t xml:space="preserve">public and </w:t>
      </w:r>
      <w:r w:rsidR="00994F48">
        <w:lastRenderedPageBreak/>
        <w:t>stakeholder</w:t>
      </w:r>
      <w:r w:rsidR="002B5FFA">
        <w:t>s are</w:t>
      </w:r>
      <w:r w:rsidR="00994F48">
        <w:t xml:space="preserve"> involve</w:t>
      </w:r>
      <w:r w:rsidR="002B5FFA">
        <w:t xml:space="preserve">d in both the </w:t>
      </w:r>
      <w:r w:rsidR="00994F48">
        <w:t>generati</w:t>
      </w:r>
      <w:r w:rsidR="002B5FFA">
        <w:t>on of</w:t>
      </w:r>
      <w:r w:rsidR="00994F48">
        <w:t xml:space="preserve"> delegated legislation</w:t>
      </w:r>
      <w:r w:rsidR="002B5FFA">
        <w:t xml:space="preserve"> and the process for updating it.</w:t>
      </w:r>
      <w:r w:rsidR="00E61A20" w:rsidRPr="00AD7810">
        <w:t xml:space="preserve"> The </w:t>
      </w:r>
      <w:r w:rsidR="006C70D8" w:rsidRPr="00AD7810">
        <w:t xml:space="preserve">OGTR has </w:t>
      </w:r>
      <w:r w:rsidR="00E61A20" w:rsidRPr="00AD7810">
        <w:t xml:space="preserve">a </w:t>
      </w:r>
      <w:r w:rsidR="006C70D8" w:rsidRPr="00AD7810">
        <w:t>strong history of engaging stakeholders and ensuring public consult</w:t>
      </w:r>
      <w:r w:rsidR="00624B30">
        <w:t xml:space="preserve">, and we hope that this will continue. It will be </w:t>
      </w:r>
      <w:r w:rsidR="00CE3B9B">
        <w:t xml:space="preserve">crucial to the success of the proposed </w:t>
      </w:r>
      <w:r w:rsidR="00F325D1">
        <w:t>options</w:t>
      </w:r>
      <w:r w:rsidR="00CE3B9B">
        <w:t xml:space="preserve">, and to </w:t>
      </w:r>
      <w:proofErr w:type="gramStart"/>
      <w:r w:rsidR="00CE3B9B">
        <w:t>all of</w:t>
      </w:r>
      <w:proofErr w:type="gramEnd"/>
      <w:r w:rsidR="00CE3B9B">
        <w:t xml:space="preserve"> the items we discuss below.</w:t>
      </w:r>
    </w:p>
    <w:p w14:paraId="2AD37FEF" w14:textId="6180BBAB" w:rsidR="006943C2" w:rsidRPr="00AD7810" w:rsidRDefault="006943C2" w:rsidP="00B95774">
      <w:pPr>
        <w:pStyle w:val="Heading1"/>
      </w:pPr>
      <w:r w:rsidRPr="00AD7810">
        <w:t>Non-notifiable</w:t>
      </w:r>
      <w:r w:rsidR="001166AB" w:rsidRPr="00AD7810">
        <w:t xml:space="preserve"> and notifiable dealings</w:t>
      </w:r>
    </w:p>
    <w:p w14:paraId="704E351C" w14:textId="6363193C" w:rsidR="00266C39" w:rsidRPr="00AD7810" w:rsidRDefault="006943C2" w:rsidP="00FD33A3">
      <w:pPr>
        <w:jc w:val="both"/>
      </w:pPr>
      <w:r w:rsidRPr="00AD7810">
        <w:t>QUT s</w:t>
      </w:r>
      <w:r w:rsidR="00266C39" w:rsidRPr="00AD7810">
        <w:t>upport</w:t>
      </w:r>
      <w:r w:rsidR="00624B30">
        <w:t>s</w:t>
      </w:r>
      <w:r w:rsidR="00266C39" w:rsidRPr="00AD7810">
        <w:t xml:space="preserve"> </w:t>
      </w:r>
      <w:r w:rsidRPr="00AD7810">
        <w:t xml:space="preserve">the </w:t>
      </w:r>
      <w:r w:rsidR="00266C39" w:rsidRPr="00AD7810">
        <w:t xml:space="preserve">change </w:t>
      </w:r>
      <w:r w:rsidR="002B4FD3">
        <w:t>of</w:t>
      </w:r>
      <w:r w:rsidR="00266C39" w:rsidRPr="00AD7810">
        <w:t xml:space="preserve"> ‘exempt’ </w:t>
      </w:r>
      <w:r w:rsidRPr="00AD7810">
        <w:t xml:space="preserve">dealings </w:t>
      </w:r>
      <w:r w:rsidR="00266C39" w:rsidRPr="00AD7810">
        <w:t xml:space="preserve">to ‘non-notifiable’ </w:t>
      </w:r>
      <w:r w:rsidRPr="00AD7810">
        <w:t>dealings. The term exempt can cause confusion, with</w:t>
      </w:r>
      <w:r w:rsidR="00285E98" w:rsidRPr="00AD7810">
        <w:t xml:space="preserve"> some</w:t>
      </w:r>
      <w:r w:rsidRPr="00AD7810">
        <w:t xml:space="preserve"> believing it referred to</w:t>
      </w:r>
      <w:r w:rsidR="00285E98" w:rsidRPr="00AD7810">
        <w:t xml:space="preserve"> a dealing</w:t>
      </w:r>
      <w:r w:rsidRPr="00AD7810">
        <w:t xml:space="preserve"> being exempt from being a GMO, rather than exempt from licencing requirements. </w:t>
      </w:r>
      <w:r w:rsidR="00285E98" w:rsidRPr="00AD7810">
        <w:t>We a</w:t>
      </w:r>
      <w:r w:rsidR="00266C39" w:rsidRPr="00AD7810">
        <w:t xml:space="preserve">lso support </w:t>
      </w:r>
      <w:r w:rsidR="00B65B52" w:rsidRPr="00AD7810">
        <w:t xml:space="preserve">the </w:t>
      </w:r>
      <w:r w:rsidR="00266C39" w:rsidRPr="00AD7810">
        <w:t xml:space="preserve">expansion of the </w:t>
      </w:r>
      <w:r w:rsidR="0024708D">
        <w:t>dealing pathway</w:t>
      </w:r>
      <w:r w:rsidR="002372E1" w:rsidRPr="00AD7810">
        <w:t xml:space="preserve"> </w:t>
      </w:r>
      <w:r w:rsidR="00266C39" w:rsidRPr="00AD7810">
        <w:t xml:space="preserve">to include other GMO dealings. </w:t>
      </w:r>
    </w:p>
    <w:p w14:paraId="4B37F78E" w14:textId="0C0DBAB0" w:rsidR="001166AB" w:rsidRPr="00AD7810" w:rsidRDefault="001166AB" w:rsidP="00FD33A3">
      <w:pPr>
        <w:jc w:val="both"/>
      </w:pPr>
      <w:r w:rsidRPr="00AD7810">
        <w:t xml:space="preserve">QUT also supports the change of </w:t>
      </w:r>
      <w:r w:rsidR="00516C94">
        <w:t>‘</w:t>
      </w:r>
      <w:r w:rsidRPr="00AD7810">
        <w:t>NLRD</w:t>
      </w:r>
      <w:r w:rsidR="00516C94">
        <w:t>’</w:t>
      </w:r>
      <w:r w:rsidRPr="00AD7810">
        <w:t xml:space="preserve"> to </w:t>
      </w:r>
      <w:r w:rsidR="00516C94">
        <w:t>‘</w:t>
      </w:r>
      <w:r w:rsidRPr="00AD7810">
        <w:t>notifiable</w:t>
      </w:r>
      <w:r w:rsidR="00516C94">
        <w:t>’</w:t>
      </w:r>
      <w:r w:rsidRPr="00AD7810">
        <w:t xml:space="preserve"> dealings. </w:t>
      </w:r>
      <w:r w:rsidR="009C6215" w:rsidRPr="00AD7810">
        <w:t xml:space="preserve">The term clearly describes the requirements for these dealings and is not dissimilar to the </w:t>
      </w:r>
      <w:r w:rsidR="00516C94">
        <w:t>current</w:t>
      </w:r>
      <w:r w:rsidR="009C6215" w:rsidRPr="00AD7810">
        <w:t xml:space="preserve"> name, so there should be little confusion to the change. Again, QUT supports the expansion of the </w:t>
      </w:r>
      <w:r w:rsidR="002372E1" w:rsidRPr="00AD7810">
        <w:t>category</w:t>
      </w:r>
      <w:r w:rsidR="009C6215" w:rsidRPr="00AD7810">
        <w:t xml:space="preserve"> </w:t>
      </w:r>
      <w:r w:rsidR="002372E1" w:rsidRPr="00AD7810">
        <w:t>to include other GMO dealings</w:t>
      </w:r>
      <w:r w:rsidR="00624B30">
        <w:t>.</w:t>
      </w:r>
    </w:p>
    <w:p w14:paraId="3DCEA17A" w14:textId="758051FD" w:rsidR="00F37C62" w:rsidRPr="00AD7810" w:rsidRDefault="00C303E2" w:rsidP="00FD33A3">
      <w:pPr>
        <w:jc w:val="both"/>
      </w:pPr>
      <w:r>
        <w:t>The success of these changes will depend on clear</w:t>
      </w:r>
      <w:r w:rsidR="002372E1" w:rsidRPr="00AD7810">
        <w:t xml:space="preserve"> </w:t>
      </w:r>
      <w:r w:rsidR="00F37C62" w:rsidRPr="00AD7810">
        <w:t xml:space="preserve">guidance </w:t>
      </w:r>
      <w:r w:rsidR="0025583B">
        <w:t>as to how</w:t>
      </w:r>
      <w:r w:rsidR="00F37C62" w:rsidRPr="00AD7810">
        <w:t xml:space="preserve"> non-notifiable, and notifiable </w:t>
      </w:r>
      <w:r w:rsidR="002372E1" w:rsidRPr="00AD7810">
        <w:t xml:space="preserve">dealings </w:t>
      </w:r>
      <w:r w:rsidR="00F37C62" w:rsidRPr="00AD7810">
        <w:t>need to be undertaken (e.g. contained vs not contained</w:t>
      </w:r>
      <w:r w:rsidR="002372E1" w:rsidRPr="00AD7810">
        <w:t xml:space="preserve">, </w:t>
      </w:r>
      <w:r w:rsidR="0025583B">
        <w:t xml:space="preserve">required </w:t>
      </w:r>
      <w:r w:rsidR="002372E1" w:rsidRPr="00AD7810">
        <w:t>facility containment level</w:t>
      </w:r>
      <w:r w:rsidR="00F37C62" w:rsidRPr="00AD7810">
        <w:t>)</w:t>
      </w:r>
      <w:r w:rsidR="002372E1" w:rsidRPr="00AD7810">
        <w:t xml:space="preserve">. </w:t>
      </w:r>
      <w:r w:rsidR="0025583B">
        <w:t>Currently</w:t>
      </w:r>
      <w:r w:rsidR="002372E1" w:rsidRPr="00AD7810">
        <w:t xml:space="preserve"> all NLRD and exempt dealings require the dealing </w:t>
      </w:r>
      <w:r w:rsidR="0025583B">
        <w:t xml:space="preserve">to </w:t>
      </w:r>
      <w:r w:rsidR="002372E1" w:rsidRPr="00AD7810">
        <w:t xml:space="preserve">be contained.  </w:t>
      </w:r>
      <w:r w:rsidR="009F3939">
        <w:t>If</w:t>
      </w:r>
      <w:r w:rsidR="0025583B">
        <w:t xml:space="preserve"> the </w:t>
      </w:r>
      <w:r w:rsidR="002D3B0E" w:rsidRPr="00AD7810">
        <w:t xml:space="preserve">expansion of </w:t>
      </w:r>
      <w:r w:rsidR="009F3939">
        <w:t xml:space="preserve">notifiable dealings </w:t>
      </w:r>
      <w:r>
        <w:t>may</w:t>
      </w:r>
      <w:r w:rsidR="002D3B0E" w:rsidRPr="00AD7810">
        <w:t xml:space="preserve"> include intentional release</w:t>
      </w:r>
      <w:r w:rsidR="009F3939">
        <w:t>, t</w:t>
      </w:r>
      <w:r w:rsidR="002D3B0E" w:rsidRPr="00AD7810">
        <w:t xml:space="preserve">his will need to </w:t>
      </w:r>
      <w:r w:rsidR="00CC07C7">
        <w:t xml:space="preserve">be </w:t>
      </w:r>
      <w:r w:rsidR="002D3B0E" w:rsidRPr="00AD7810">
        <w:t>very clear in the delegated legislation so that applicants and IBCs</w:t>
      </w:r>
      <w:r w:rsidR="009D1AB5" w:rsidRPr="00AD7810">
        <w:t xml:space="preserve"> know what is or is not allowed for each dealing. </w:t>
      </w:r>
      <w:r w:rsidR="007E605A">
        <w:t xml:space="preserve">IBCs may have difficulty overseeing notifiable dealings involving intentional release, as this is </w:t>
      </w:r>
      <w:r w:rsidR="00F9758C">
        <w:t xml:space="preserve">not </w:t>
      </w:r>
      <w:proofErr w:type="gramStart"/>
      <w:r w:rsidR="00F9758C">
        <w:t>something</w:t>
      </w:r>
      <w:proofErr w:type="gramEnd"/>
      <w:r w:rsidR="007E605A">
        <w:t xml:space="preserve"> they have previously had oversight</w:t>
      </w:r>
      <w:r w:rsidR="00F9758C">
        <w:t xml:space="preserve"> of</w:t>
      </w:r>
      <w:r w:rsidR="007E605A">
        <w:t>.</w:t>
      </w:r>
    </w:p>
    <w:p w14:paraId="2F0B7F01" w14:textId="779CFD59" w:rsidR="00F05CF5" w:rsidRDefault="003750B5" w:rsidP="00FD33A3">
      <w:pPr>
        <w:jc w:val="both"/>
      </w:pPr>
      <w:r w:rsidRPr="00AD7810">
        <w:t xml:space="preserve">With the change from NLRD and exempt dealings to notifiable and non-notifiable, and the associated expansion of each </w:t>
      </w:r>
      <w:r w:rsidR="007E605A">
        <w:t>authorisation pathway</w:t>
      </w:r>
      <w:r w:rsidR="00AA104F" w:rsidRPr="00AD7810">
        <w:t xml:space="preserve">, </w:t>
      </w:r>
      <w:r w:rsidR="003449AC">
        <w:t xml:space="preserve">will IBCs be required to re-assess </w:t>
      </w:r>
      <w:r w:rsidR="00AA104F" w:rsidRPr="00AD7810">
        <w:t xml:space="preserve">current dealings </w:t>
      </w:r>
      <w:r w:rsidR="007E605A">
        <w:t>under</w:t>
      </w:r>
      <w:r w:rsidR="00AA104F" w:rsidRPr="00AD7810">
        <w:t xml:space="preserve"> the new criteria</w:t>
      </w:r>
      <w:r w:rsidR="003449AC">
        <w:t>, as has been the case with past changes to the gene technology scheme</w:t>
      </w:r>
      <w:r w:rsidR="00AA104F" w:rsidRPr="00AD7810">
        <w:t xml:space="preserve">. </w:t>
      </w:r>
      <w:r w:rsidR="003449AC">
        <w:t>If so, w</w:t>
      </w:r>
      <w:r w:rsidR="00AA104F" w:rsidRPr="00AD7810">
        <w:t xml:space="preserve">e anticipate an initial increase in IBC workload while current dealings are re-assessed. This workload will vary from IBC to IBC depending on the number and complexity of </w:t>
      </w:r>
      <w:r w:rsidR="000F7317" w:rsidRPr="00AD7810">
        <w:t xml:space="preserve">their </w:t>
      </w:r>
      <w:r w:rsidR="00AA104F" w:rsidRPr="00AD7810">
        <w:t>current dealing</w:t>
      </w:r>
      <w:r w:rsidR="000F7317" w:rsidRPr="00AD7810">
        <w:t xml:space="preserve">s. When the new criteria are released IBCs will require time and </w:t>
      </w:r>
      <w:r w:rsidR="003D601D" w:rsidRPr="00AD7810">
        <w:t xml:space="preserve">in-house </w:t>
      </w:r>
      <w:r w:rsidR="000F7317" w:rsidRPr="00AD7810">
        <w:t xml:space="preserve">training to familiarise themselves with the </w:t>
      </w:r>
      <w:r w:rsidR="003D601D" w:rsidRPr="00AD7810">
        <w:t>details</w:t>
      </w:r>
      <w:r w:rsidR="000F7317" w:rsidRPr="00AD7810">
        <w:t>. It is likely that IBCs will spend more time assessing and classifying dealings until the</w:t>
      </w:r>
      <w:r w:rsidR="00F620F1">
        <w:t>y</w:t>
      </w:r>
      <w:r w:rsidR="003D601D" w:rsidRPr="00AD7810">
        <w:t xml:space="preserve"> become familiar with the new </w:t>
      </w:r>
      <w:r w:rsidR="009A5CB0">
        <w:t>criteria and authorisation pathways</w:t>
      </w:r>
      <w:r w:rsidR="003D601D" w:rsidRPr="00AD7810">
        <w:t xml:space="preserve">.  There </w:t>
      </w:r>
      <w:r w:rsidR="009A5CB0">
        <w:t>may</w:t>
      </w:r>
      <w:r w:rsidR="003D601D" w:rsidRPr="00AD7810">
        <w:t xml:space="preserve"> also </w:t>
      </w:r>
      <w:r w:rsidR="009A5CB0">
        <w:t>be</w:t>
      </w:r>
      <w:r w:rsidR="003D601D" w:rsidRPr="00AD7810">
        <w:t xml:space="preserve"> an increased IBC </w:t>
      </w:r>
      <w:r w:rsidR="009A5CB0">
        <w:t xml:space="preserve">workload </w:t>
      </w:r>
      <w:r w:rsidR="003D601D" w:rsidRPr="00AD7810">
        <w:t xml:space="preserve">with dealings from higher categories moving into the notifiable </w:t>
      </w:r>
      <w:r w:rsidR="008F45A6" w:rsidRPr="00AD7810">
        <w:t xml:space="preserve">dealing pathway. Please note that while exempt/non-notifiable dealings do not require assessment from an IBC, many organisations </w:t>
      </w:r>
      <w:r w:rsidR="009A5CB0">
        <w:t>request</w:t>
      </w:r>
      <w:r w:rsidR="008F45A6" w:rsidRPr="00AD7810">
        <w:t xml:space="preserve"> their IBCs assess these dealings</w:t>
      </w:r>
      <w:r w:rsidR="002E0617" w:rsidRPr="00AD7810">
        <w:t xml:space="preserve"> to determine the correct classification</w:t>
      </w:r>
      <w:r w:rsidR="008F45A6" w:rsidRPr="00AD7810">
        <w:t xml:space="preserve">, as individual applicants are not normally familiar </w:t>
      </w:r>
      <w:r w:rsidR="002E0617" w:rsidRPr="00AD7810">
        <w:t>enough with the legislation to correctly categorise their dealings.</w:t>
      </w:r>
      <w:r w:rsidR="008F45A6" w:rsidRPr="00AD7810">
        <w:t xml:space="preserve"> </w:t>
      </w:r>
      <w:r w:rsidR="009A5CB0">
        <w:t>This is an internal procedure by organisations to minimise non-compliance</w:t>
      </w:r>
      <w:r w:rsidR="00C611C8">
        <w:t>.</w:t>
      </w:r>
    </w:p>
    <w:p w14:paraId="2FCA2465" w14:textId="3AD62746" w:rsidR="007B0A60" w:rsidRPr="00CE3B9B" w:rsidRDefault="007B0A60" w:rsidP="00B95774">
      <w:pPr>
        <w:pStyle w:val="Heading1"/>
      </w:pPr>
      <w:r w:rsidRPr="00CE3B9B">
        <w:t>Scope for allow</w:t>
      </w:r>
      <w:r>
        <w:t>ing</w:t>
      </w:r>
      <w:r w:rsidRPr="00CE3B9B">
        <w:t xml:space="preserve"> “variations” to </w:t>
      </w:r>
      <w:r w:rsidR="00CE3B9B">
        <w:t>notifiable dealings</w:t>
      </w:r>
    </w:p>
    <w:p w14:paraId="7AC8E631" w14:textId="5758F500" w:rsidR="00266C39" w:rsidRPr="00AD7810" w:rsidRDefault="002A7044" w:rsidP="00FD33A3">
      <w:pPr>
        <w:jc w:val="both"/>
      </w:pPr>
      <w:r w:rsidRPr="00AD7810">
        <w:t xml:space="preserve">As part of the </w:t>
      </w:r>
      <w:r w:rsidR="00CC3948" w:rsidRPr="00AD7810">
        <w:t xml:space="preserve">modernising and </w:t>
      </w:r>
      <w:proofErr w:type="gramStart"/>
      <w:r w:rsidR="00CC3948" w:rsidRPr="00AD7810">
        <w:t>future-proofing</w:t>
      </w:r>
      <w:proofErr w:type="gramEnd"/>
      <w:r w:rsidRPr="00AD7810">
        <w:t xml:space="preserve"> of the </w:t>
      </w:r>
      <w:r w:rsidR="00C611C8">
        <w:t>gene technology</w:t>
      </w:r>
      <w:r w:rsidRPr="00AD7810">
        <w:t xml:space="preserve"> scheme </w:t>
      </w:r>
      <w:r w:rsidR="00CC3948" w:rsidRPr="00AD7810">
        <w:t xml:space="preserve">we ask that consideration be given to allow IBCs </w:t>
      </w:r>
      <w:r w:rsidR="00B64970" w:rsidRPr="00AD7810">
        <w:t xml:space="preserve">to </w:t>
      </w:r>
      <w:r w:rsidR="009E43FD">
        <w:t>approve</w:t>
      </w:r>
      <w:r w:rsidR="00C83EDF">
        <w:t xml:space="preserve"> </w:t>
      </w:r>
      <w:r w:rsidR="009E43FD">
        <w:t>variations to</w:t>
      </w:r>
      <w:r w:rsidR="00266C39" w:rsidRPr="00AD7810">
        <w:t xml:space="preserve"> notifiable dealings. Provided </w:t>
      </w:r>
      <w:r w:rsidR="00CC3948" w:rsidRPr="00AD7810">
        <w:t>a variation is revie</w:t>
      </w:r>
      <w:r w:rsidR="00266C39" w:rsidRPr="00AD7810">
        <w:t xml:space="preserve">wed by </w:t>
      </w:r>
      <w:r w:rsidR="00CC3948" w:rsidRPr="00AD7810">
        <w:t xml:space="preserve">an </w:t>
      </w:r>
      <w:r w:rsidR="00266C39" w:rsidRPr="00AD7810">
        <w:t xml:space="preserve">IBC and approved before </w:t>
      </w:r>
      <w:r w:rsidR="009E43FD">
        <w:t>work commences</w:t>
      </w:r>
      <w:r w:rsidR="00266C39" w:rsidRPr="00AD7810">
        <w:t>, there is little risk</w:t>
      </w:r>
      <w:r w:rsidR="00C83EDF">
        <w:t>.</w:t>
      </w:r>
      <w:r w:rsidR="009E43FD">
        <w:t xml:space="preserve"> </w:t>
      </w:r>
      <w:r w:rsidR="00C83EDF">
        <w:t>V</w:t>
      </w:r>
      <w:r w:rsidR="009E43FD">
        <w:t>ariations might include</w:t>
      </w:r>
      <w:r w:rsidR="00266C39" w:rsidRPr="00AD7810">
        <w:t xml:space="preserve"> </w:t>
      </w:r>
      <w:r w:rsidR="002E6E74" w:rsidRPr="00AD7810">
        <w:t xml:space="preserve">the </w:t>
      </w:r>
      <w:r w:rsidR="00266C39" w:rsidRPr="00AD7810">
        <w:t xml:space="preserve">addition of new facilities, new classes of authorised persons, </w:t>
      </w:r>
      <w:r w:rsidR="00574E41">
        <w:t xml:space="preserve">or </w:t>
      </w:r>
      <w:r w:rsidR="00266C39" w:rsidRPr="00AD7810">
        <w:t xml:space="preserve">new traits/dealings if they are within the scope of the </w:t>
      </w:r>
      <w:r w:rsidR="00574E41">
        <w:t xml:space="preserve">approved </w:t>
      </w:r>
      <w:r w:rsidR="00266C39" w:rsidRPr="00AD7810">
        <w:t>project.</w:t>
      </w:r>
      <w:r w:rsidR="002E6E74" w:rsidRPr="00AD7810">
        <w:t xml:space="preserve"> In practice, the review of an original application with the proposed changes clearly identifiable (e.g. tracked changes), </w:t>
      </w:r>
      <w:r w:rsidR="005B33DF">
        <w:t xml:space="preserve">is </w:t>
      </w:r>
      <w:r w:rsidR="002E6E74" w:rsidRPr="00AD7810">
        <w:t>the same as reviewing a new application</w:t>
      </w:r>
      <w:r w:rsidR="00B64970" w:rsidRPr="00AD7810">
        <w:t>, so poses no additional risk</w:t>
      </w:r>
      <w:r w:rsidR="002E6E74" w:rsidRPr="00AD7810">
        <w:t xml:space="preserve">. </w:t>
      </w:r>
      <w:r w:rsidR="008248BB">
        <w:t>This suggestion would reduce administrative</w:t>
      </w:r>
      <w:r w:rsidR="008248BB" w:rsidRPr="00AD7810">
        <w:t xml:space="preserve"> </w:t>
      </w:r>
      <w:r w:rsidR="00B64970" w:rsidRPr="00AD7810">
        <w:t xml:space="preserve">burden </w:t>
      </w:r>
      <w:r w:rsidR="00266C39" w:rsidRPr="00AD7810">
        <w:t xml:space="preserve">for applicants and </w:t>
      </w:r>
      <w:proofErr w:type="gramStart"/>
      <w:r w:rsidR="00266C39" w:rsidRPr="00AD7810">
        <w:t>IBC</w:t>
      </w:r>
      <w:r w:rsidR="00B64970" w:rsidRPr="00AD7810">
        <w:t>s</w:t>
      </w:r>
      <w:r w:rsidR="008248BB">
        <w:t>, and</w:t>
      </w:r>
      <w:proofErr w:type="gramEnd"/>
      <w:r w:rsidR="008248BB">
        <w:t xml:space="preserve"> is consistent with the aims of the review</w:t>
      </w:r>
      <w:r w:rsidR="00266C39" w:rsidRPr="00AD7810">
        <w:t xml:space="preserve">. </w:t>
      </w:r>
      <w:r w:rsidR="00CE3B9B">
        <w:t>It may</w:t>
      </w:r>
      <w:r w:rsidR="008248BB">
        <w:t xml:space="preserve"> also reduce </w:t>
      </w:r>
      <w:r w:rsidR="00266C39" w:rsidRPr="00AD7810">
        <w:t>risk</w:t>
      </w:r>
      <w:r w:rsidR="008248BB">
        <w:t>s</w:t>
      </w:r>
      <w:r w:rsidR="00266C39" w:rsidRPr="00AD7810">
        <w:t xml:space="preserve"> of non</w:t>
      </w:r>
      <w:r w:rsidR="00E7577F" w:rsidRPr="00AD7810">
        <w:t>-</w:t>
      </w:r>
      <w:r w:rsidR="00266C39" w:rsidRPr="00AD7810">
        <w:t xml:space="preserve">compliance </w:t>
      </w:r>
      <w:r w:rsidR="00C611C8">
        <w:t>if</w:t>
      </w:r>
      <w:r w:rsidR="00266C39" w:rsidRPr="00AD7810">
        <w:t xml:space="preserve"> dealings covered on the original approval are not re-labelled etc to note they are now </w:t>
      </w:r>
      <w:r w:rsidR="00266C39" w:rsidRPr="00AD7810">
        <w:lastRenderedPageBreak/>
        <w:t>covered under a new approval.</w:t>
      </w:r>
      <w:r w:rsidR="00E7577F" w:rsidRPr="00AD7810">
        <w:t xml:space="preserve"> Variations to notifiable dealings could still be reported </w:t>
      </w:r>
      <w:r w:rsidR="008248BB">
        <w:t xml:space="preserve">to </w:t>
      </w:r>
      <w:r w:rsidR="00E7577F" w:rsidRPr="00AD7810">
        <w:t>the Regulator annually</w:t>
      </w:r>
      <w:r w:rsidR="008248BB">
        <w:t>.</w:t>
      </w:r>
    </w:p>
    <w:p w14:paraId="48792EB4" w14:textId="2A5FF1DE" w:rsidR="00F37C62" w:rsidRPr="00AD7810" w:rsidRDefault="00F37C62" w:rsidP="00B95774">
      <w:pPr>
        <w:pStyle w:val="Heading1"/>
      </w:pPr>
      <w:r w:rsidRPr="00AD7810">
        <w:t>Licences</w:t>
      </w:r>
    </w:p>
    <w:p w14:paraId="37C28E81" w14:textId="420B40FE" w:rsidR="00780002" w:rsidRPr="00AD7810" w:rsidRDefault="006108B1" w:rsidP="00FD33A3">
      <w:pPr>
        <w:jc w:val="both"/>
      </w:pPr>
      <w:r w:rsidRPr="00AD7810">
        <w:t xml:space="preserve">QUT acknowledges the need for certain dealings to </w:t>
      </w:r>
      <w:r w:rsidR="00F32A92">
        <w:t>remain</w:t>
      </w:r>
      <w:r w:rsidRPr="00AD7810">
        <w:t xml:space="preserve"> </w:t>
      </w:r>
      <w:r w:rsidR="00CC07C7" w:rsidRPr="00AD7810">
        <w:t>licensed</w:t>
      </w:r>
      <w:r w:rsidRPr="00AD7810">
        <w:t xml:space="preserve"> by the OGTR,</w:t>
      </w:r>
      <w:r w:rsidR="00F32A92">
        <w:t xml:space="preserve"> to ensure appropriate assessment of risks and oversight</w:t>
      </w:r>
      <w:r w:rsidR="00F620F1">
        <w:t>.</w:t>
      </w:r>
      <w:r w:rsidRPr="00AD7810">
        <w:t xml:space="preserve"> </w:t>
      </w:r>
      <w:r w:rsidR="00F620F1">
        <w:t>I</w:t>
      </w:r>
      <w:r w:rsidR="00644D6E" w:rsidRPr="00AD7810">
        <w:t xml:space="preserve">t is </w:t>
      </w:r>
      <w:r w:rsidR="00F620F1">
        <w:t xml:space="preserve">however </w:t>
      </w:r>
      <w:r w:rsidR="00644D6E" w:rsidRPr="00AD7810">
        <w:t xml:space="preserve">very important that </w:t>
      </w:r>
      <w:r w:rsidR="0096569A" w:rsidRPr="00AD7810">
        <w:t>criteria clearly defin</w:t>
      </w:r>
      <w:r w:rsidR="00F32A92">
        <w:t xml:space="preserve">e </w:t>
      </w:r>
      <w:r w:rsidR="0096569A" w:rsidRPr="00AD7810">
        <w:t>what dealings can be applied for in each of the licence categories</w:t>
      </w:r>
      <w:r w:rsidR="00F32A92">
        <w:t>, permit, expedited and full assessment</w:t>
      </w:r>
      <w:r w:rsidR="0096569A" w:rsidRPr="00AD7810">
        <w:t xml:space="preserve">. If this is not clear, or it is assessed on a </w:t>
      </w:r>
      <w:r w:rsidR="001333FF" w:rsidRPr="00AD7810">
        <w:t>case-by-case</w:t>
      </w:r>
      <w:r w:rsidR="0096569A" w:rsidRPr="00AD7810">
        <w:t xml:space="preserve"> basis, it will potentially increase the time </w:t>
      </w:r>
      <w:r w:rsidR="00631FC1" w:rsidRPr="00AD7810">
        <w:t xml:space="preserve">required </w:t>
      </w:r>
      <w:r w:rsidR="0096569A" w:rsidRPr="00AD7810">
        <w:t xml:space="preserve">to obtain approvals. For example, </w:t>
      </w:r>
      <w:r w:rsidR="00B81BA8" w:rsidRPr="00AD7810">
        <w:t xml:space="preserve">if </w:t>
      </w:r>
      <w:r w:rsidR="00AA47E1" w:rsidRPr="00AD7810">
        <w:t>a permit is assessed for administrative, financial and compliance checks</w:t>
      </w:r>
      <w:r w:rsidR="00B81BA8" w:rsidRPr="00AD7810">
        <w:t xml:space="preserve"> only, the application form is not likely to require as much information from the applicant when compared to an </w:t>
      </w:r>
      <w:r w:rsidR="00AA47E1" w:rsidRPr="00AD7810">
        <w:t>expedited assessment</w:t>
      </w:r>
      <w:r w:rsidR="006E2177" w:rsidRPr="00AD7810">
        <w:t xml:space="preserve">, or a full assessment </w:t>
      </w:r>
      <w:r w:rsidR="0008795D" w:rsidRPr="00AD7810">
        <w:t>application.</w:t>
      </w:r>
      <w:r w:rsidR="006E2177" w:rsidRPr="00AD7810">
        <w:t xml:space="preserve"> </w:t>
      </w:r>
      <w:r w:rsidR="00FA6044">
        <w:t>If</w:t>
      </w:r>
      <w:r w:rsidR="0008795D" w:rsidRPr="00AD7810">
        <w:t xml:space="preserve"> a</w:t>
      </w:r>
      <w:r w:rsidR="006E2177" w:rsidRPr="00AD7810">
        <w:t xml:space="preserve"> permit application is refused</w:t>
      </w:r>
      <w:r w:rsidR="00FA6044">
        <w:t xml:space="preserve"> following assessment</w:t>
      </w:r>
      <w:r w:rsidR="006E2177" w:rsidRPr="00AD7810">
        <w:t xml:space="preserve"> or allocated to a more appropriate licence type</w:t>
      </w:r>
      <w:r w:rsidR="0008795D" w:rsidRPr="00AD7810">
        <w:t xml:space="preserve">, </w:t>
      </w:r>
      <w:r w:rsidR="006E2177" w:rsidRPr="00AD7810">
        <w:t xml:space="preserve">additional information </w:t>
      </w:r>
      <w:r w:rsidR="0008795D" w:rsidRPr="00AD7810">
        <w:t xml:space="preserve">is likely to be required </w:t>
      </w:r>
      <w:r w:rsidR="00167804">
        <w:t xml:space="preserve">from the applicant so the </w:t>
      </w:r>
      <w:r w:rsidR="0008795D" w:rsidRPr="00AD7810">
        <w:t xml:space="preserve">dealing </w:t>
      </w:r>
      <w:r w:rsidR="00167804">
        <w:t>can</w:t>
      </w:r>
      <w:r w:rsidR="0008795D" w:rsidRPr="00AD7810">
        <w:t xml:space="preserve"> be assessed. </w:t>
      </w:r>
      <w:r w:rsidR="00644D6E" w:rsidRPr="00AD7810">
        <w:t xml:space="preserve">This additional information would presumably need to be reviewed by the IBC before submitting to the OGTR. This will add additional time delays </w:t>
      </w:r>
      <w:r w:rsidR="0008795D" w:rsidRPr="00AD7810">
        <w:t xml:space="preserve">and administrative burden </w:t>
      </w:r>
      <w:r w:rsidR="00167804">
        <w:t xml:space="preserve">on </w:t>
      </w:r>
      <w:r w:rsidR="0008795D" w:rsidRPr="00AD7810">
        <w:t>applicants and IBCs</w:t>
      </w:r>
      <w:r w:rsidR="00644D6E" w:rsidRPr="00AD7810">
        <w:t xml:space="preserve">, rather than speeding </w:t>
      </w:r>
      <w:r w:rsidR="0008795D" w:rsidRPr="00AD7810">
        <w:t xml:space="preserve">up and simplifying the application process. </w:t>
      </w:r>
      <w:r w:rsidR="00631FC1" w:rsidRPr="00AD7810">
        <w:t xml:space="preserve">This also adds uncertainty to applicants as they will be unaware of the potential time frames to obtain their approval. </w:t>
      </w:r>
      <w:r w:rsidR="00780002" w:rsidRPr="00AD7810">
        <w:t xml:space="preserve">This scenario can be </w:t>
      </w:r>
      <w:r w:rsidR="008135D5">
        <w:t>mitigated</w:t>
      </w:r>
      <w:r w:rsidR="008135D5" w:rsidRPr="00AD7810">
        <w:t xml:space="preserve"> </w:t>
      </w:r>
      <w:r w:rsidR="00167804">
        <w:t>if</w:t>
      </w:r>
      <w:r w:rsidR="00780002" w:rsidRPr="00AD7810">
        <w:t xml:space="preserve"> criteria for each of the licence categories is very clear and can easily be applied by applicants and IBCs.</w:t>
      </w:r>
    </w:p>
    <w:p w14:paraId="257B9F1A" w14:textId="06B28AE4" w:rsidR="00F142FC" w:rsidRDefault="00780002" w:rsidP="00FD33A3">
      <w:pPr>
        <w:jc w:val="both"/>
      </w:pPr>
      <w:r w:rsidRPr="00AD7810">
        <w:t xml:space="preserve">While option B is more streamlined, it is </w:t>
      </w:r>
      <w:r w:rsidR="00167804">
        <w:t xml:space="preserve">unlikely </w:t>
      </w:r>
      <w:r w:rsidRPr="00AD7810">
        <w:t xml:space="preserve">there </w:t>
      </w:r>
      <w:r w:rsidR="00167804">
        <w:t>could</w:t>
      </w:r>
      <w:r w:rsidRPr="00AD7810">
        <w:t xml:space="preserve"> be a single application form for each licence category. </w:t>
      </w:r>
      <w:r w:rsidR="00DC3CA5" w:rsidRPr="00AD7810">
        <w:t>Presumably,</w:t>
      </w:r>
      <w:r w:rsidRPr="00AD7810">
        <w:t xml:space="preserve"> different information will be required in an application </w:t>
      </w:r>
      <w:r w:rsidR="00EF5AE8" w:rsidRPr="00AD7810">
        <w:t>for a plant field trial compared to a clinical trial</w:t>
      </w:r>
      <w:r w:rsidR="00DC3CA5">
        <w:t>.</w:t>
      </w:r>
      <w:r w:rsidR="00EF5AE8" w:rsidRPr="00AD7810">
        <w:t xml:space="preserve"> </w:t>
      </w:r>
      <w:r w:rsidR="0062387B">
        <w:t xml:space="preserve">We are not sure how this would work in practice – e.g. whether </w:t>
      </w:r>
      <w:r w:rsidR="00F142FC">
        <w:t xml:space="preserve">it would involve a complex smart-form that change questions depending in the nature of the dealing. </w:t>
      </w:r>
      <w:r w:rsidR="00BB1073">
        <w:t xml:space="preserve"> We have some concern </w:t>
      </w:r>
      <w:proofErr w:type="gramStart"/>
      <w:r w:rsidR="00BB1073">
        <w:t xml:space="preserve">that </w:t>
      </w:r>
      <w:r w:rsidR="00F142FC">
        <w:t xml:space="preserve"> </w:t>
      </w:r>
      <w:r w:rsidR="00BB1073">
        <w:t>the</w:t>
      </w:r>
      <w:proofErr w:type="gramEnd"/>
      <w:r w:rsidR="00BB1073">
        <w:t xml:space="preserve"> proposed flexibility may necessitate a</w:t>
      </w:r>
      <w:r w:rsidR="004B6E96" w:rsidRPr="00AD7810">
        <w:t xml:space="preserve"> lengthy application form and some applicants </w:t>
      </w:r>
      <w:r w:rsidR="00BB1073">
        <w:t>will be</w:t>
      </w:r>
      <w:r w:rsidR="00BB1073" w:rsidRPr="00AD7810">
        <w:t xml:space="preserve"> </w:t>
      </w:r>
      <w:r w:rsidR="004B6E96" w:rsidRPr="00AD7810">
        <w:t>confused as to what sections do or do not apply to their dealing.</w:t>
      </w:r>
      <w:r w:rsidR="00316781" w:rsidRPr="00AD7810">
        <w:t xml:space="preserve"> </w:t>
      </w:r>
    </w:p>
    <w:p w14:paraId="2B57B5C3" w14:textId="058DA18F" w:rsidR="007453FB" w:rsidRPr="00AD7810" w:rsidRDefault="00316781" w:rsidP="00FD33A3">
      <w:pPr>
        <w:jc w:val="both"/>
      </w:pPr>
      <w:r w:rsidRPr="00AD7810">
        <w:t>We agree that categorising by dealing type, as in option C, can be difficult and there are dealings that would not clearly fall into a single category. However, categorisation as some point in the process, at least for licences, may be unavoidable.</w:t>
      </w:r>
      <w:r w:rsidR="00C06844">
        <w:t xml:space="preserve"> </w:t>
      </w:r>
    </w:p>
    <w:p w14:paraId="29EC20D5" w14:textId="0D00E862" w:rsidR="000506F2" w:rsidRPr="00AD7810" w:rsidRDefault="000506F2" w:rsidP="00FD33A3">
      <w:pPr>
        <w:jc w:val="both"/>
      </w:pPr>
      <w:r w:rsidRPr="00AD7810">
        <w:t xml:space="preserve">Would the proposed licence system allow streamlining of dealings as they progress? For </w:t>
      </w:r>
      <w:r w:rsidR="00DC3CA5" w:rsidRPr="00AD7810">
        <w:t>example,</w:t>
      </w:r>
      <w:r w:rsidR="00F142FC">
        <w:t xml:space="preserve"> suppose</w:t>
      </w:r>
      <w:r w:rsidRPr="00AD7810">
        <w:t xml:space="preserve"> an applicant applies for </w:t>
      </w:r>
      <w:r w:rsidR="009675E9" w:rsidRPr="00AD7810">
        <w:t xml:space="preserve">a </w:t>
      </w:r>
      <w:r w:rsidRPr="00AD7810">
        <w:t xml:space="preserve">permit to work with a GM plant in </w:t>
      </w:r>
      <w:r w:rsidR="009675E9" w:rsidRPr="00AD7810">
        <w:t xml:space="preserve">the </w:t>
      </w:r>
      <w:r w:rsidRPr="00AD7810">
        <w:t>lab (</w:t>
      </w:r>
      <w:r w:rsidR="009675E9" w:rsidRPr="00AD7810">
        <w:t>currently</w:t>
      </w:r>
      <w:r w:rsidRPr="00AD7810">
        <w:t xml:space="preserve"> DNIR), </w:t>
      </w:r>
      <w:r w:rsidR="009675E9" w:rsidRPr="00AD7810">
        <w:t xml:space="preserve">the </w:t>
      </w:r>
      <w:r w:rsidRPr="00AD7810">
        <w:t xml:space="preserve">work </w:t>
      </w:r>
      <w:r w:rsidR="001333FF" w:rsidRPr="00AD7810">
        <w:t>progresses,</w:t>
      </w:r>
      <w:r w:rsidRPr="00AD7810">
        <w:t xml:space="preserve"> and they now want to test</w:t>
      </w:r>
      <w:r w:rsidR="009675E9" w:rsidRPr="00AD7810">
        <w:t xml:space="preserve"> the</w:t>
      </w:r>
      <w:r w:rsidRPr="00AD7810">
        <w:t xml:space="preserve"> plants in </w:t>
      </w:r>
      <w:r w:rsidR="009675E9" w:rsidRPr="00AD7810">
        <w:t xml:space="preserve">a </w:t>
      </w:r>
      <w:r w:rsidRPr="00AD7810">
        <w:t>field study (</w:t>
      </w:r>
      <w:r w:rsidR="009675E9" w:rsidRPr="00AD7810">
        <w:t>currently</w:t>
      </w:r>
      <w:r w:rsidRPr="00AD7810">
        <w:t xml:space="preserve"> DIR). The change in work would require </w:t>
      </w:r>
      <w:r w:rsidR="009675E9" w:rsidRPr="00AD7810">
        <w:t xml:space="preserve">a new DIR </w:t>
      </w:r>
      <w:r w:rsidRPr="00AD7810">
        <w:t xml:space="preserve">application through </w:t>
      </w:r>
      <w:r w:rsidR="009675E9" w:rsidRPr="00AD7810">
        <w:t xml:space="preserve">the </w:t>
      </w:r>
      <w:r w:rsidRPr="00AD7810">
        <w:t>IBC and OGTR</w:t>
      </w:r>
      <w:r w:rsidR="009675E9" w:rsidRPr="00AD7810">
        <w:t xml:space="preserve">, and a </w:t>
      </w:r>
      <w:r w:rsidRPr="00AD7810">
        <w:t xml:space="preserve">new licence </w:t>
      </w:r>
      <w:r w:rsidR="009675E9" w:rsidRPr="00AD7810">
        <w:t xml:space="preserve">issued which can take a </w:t>
      </w:r>
      <w:r w:rsidRPr="00AD7810">
        <w:t xml:space="preserve">long time. </w:t>
      </w:r>
      <w:r w:rsidR="00FE21DE">
        <w:t>Once issued</w:t>
      </w:r>
      <w:r w:rsidR="00F142FC">
        <w:t>,</w:t>
      </w:r>
      <w:r w:rsidR="00FE21DE">
        <w:t xml:space="preserve"> the applicant works under two licence approvals. </w:t>
      </w:r>
      <w:r w:rsidR="006C3167" w:rsidRPr="00AD7810">
        <w:t>In the proposed model, if</w:t>
      </w:r>
      <w:r w:rsidRPr="00AD7810">
        <w:t xml:space="preserve"> they already ha</w:t>
      </w:r>
      <w:r w:rsidR="006C3167" w:rsidRPr="00AD7810">
        <w:t>d</w:t>
      </w:r>
      <w:r w:rsidRPr="00AD7810">
        <w:t xml:space="preserve"> a </w:t>
      </w:r>
      <w:r w:rsidR="006C3167" w:rsidRPr="00AD7810">
        <w:t>permit or expedited approval</w:t>
      </w:r>
      <w:r w:rsidRPr="00AD7810">
        <w:t xml:space="preserve"> for work, would they be able to vary </w:t>
      </w:r>
      <w:r w:rsidR="006C3167" w:rsidRPr="00AD7810">
        <w:t xml:space="preserve">the </w:t>
      </w:r>
      <w:r w:rsidRPr="00AD7810">
        <w:t xml:space="preserve">licence to now do field work? Would this be faster than </w:t>
      </w:r>
      <w:r w:rsidR="006C3167" w:rsidRPr="00AD7810">
        <w:t>submitting a</w:t>
      </w:r>
      <w:r w:rsidRPr="00AD7810">
        <w:t xml:space="preserve"> new </w:t>
      </w:r>
      <w:r w:rsidR="006C3167" w:rsidRPr="00AD7810">
        <w:t>application</w:t>
      </w:r>
      <w:r w:rsidRPr="00AD7810">
        <w:t>, as the background of the project (host plant, gene traits, etc) have already been assessed</w:t>
      </w:r>
      <w:r w:rsidR="00C82DC2" w:rsidRPr="00AD7810">
        <w:t xml:space="preserve">? This would increase efficiency for the applicant and the IBC </w:t>
      </w:r>
      <w:r w:rsidRPr="00AD7810">
        <w:t>and</w:t>
      </w:r>
      <w:r w:rsidR="00C82DC2" w:rsidRPr="00AD7810">
        <w:t xml:space="preserve"> presumably the </w:t>
      </w:r>
      <w:r w:rsidRPr="00AD7810">
        <w:t xml:space="preserve">OGTR </w:t>
      </w:r>
      <w:r w:rsidR="00C82DC2" w:rsidRPr="00AD7810">
        <w:t>if they could</w:t>
      </w:r>
      <w:r w:rsidRPr="00AD7810">
        <w:t xml:space="preserve"> build on previous</w:t>
      </w:r>
      <w:r w:rsidR="00C82DC2" w:rsidRPr="00AD7810">
        <w:t xml:space="preserve"> risk</w:t>
      </w:r>
      <w:r w:rsidRPr="00AD7810">
        <w:t xml:space="preserve"> assessmen</w:t>
      </w:r>
      <w:r w:rsidR="00FE21DE">
        <w:t>ts undertaken for the first licence. It also means the applicant works under one approval which covers all the work.</w:t>
      </w:r>
    </w:p>
    <w:p w14:paraId="088CB917" w14:textId="47835228" w:rsidR="005275B8" w:rsidRPr="00AD7810" w:rsidRDefault="005275B8" w:rsidP="00FD33A3">
      <w:pPr>
        <w:jc w:val="both"/>
      </w:pPr>
      <w:r w:rsidRPr="00AD7810">
        <w:t>It</w:t>
      </w:r>
      <w:r w:rsidR="00AF4BB3" w:rsidRPr="00AD7810">
        <w:t xml:space="preserve"> is</w:t>
      </w:r>
      <w:r w:rsidRPr="00AD7810">
        <w:t xml:space="preserve"> noted that </w:t>
      </w:r>
      <w:r w:rsidR="00FE21DE">
        <w:t xml:space="preserve">urgent </w:t>
      </w:r>
      <w:r w:rsidR="00AF4BB3" w:rsidRPr="00AD7810">
        <w:t xml:space="preserve">applications such as </w:t>
      </w:r>
      <w:r w:rsidR="00423518">
        <w:t xml:space="preserve">those </w:t>
      </w:r>
      <w:r w:rsidR="00AF4BB3" w:rsidRPr="00AD7810">
        <w:t xml:space="preserve">for access to the special access scheme can be actioned in a </w:t>
      </w:r>
      <w:r w:rsidR="001333FF" w:rsidRPr="00AD7810">
        <w:t>timelier</w:t>
      </w:r>
      <w:r w:rsidR="00AF4BB3" w:rsidRPr="00AD7810">
        <w:t xml:space="preserve"> matter by including these dealings </w:t>
      </w:r>
      <w:r w:rsidR="00423518">
        <w:t>in the</w:t>
      </w:r>
      <w:r w:rsidR="00AF4BB3" w:rsidRPr="00AD7810">
        <w:t xml:space="preserve"> permit</w:t>
      </w:r>
      <w:r w:rsidR="00423518">
        <w:t xml:space="preserve"> licence category</w:t>
      </w:r>
      <w:r w:rsidR="00AF4BB3" w:rsidRPr="00AD7810">
        <w:t xml:space="preserve">.  How will other </w:t>
      </w:r>
      <w:r w:rsidR="00423518">
        <w:t>‘</w:t>
      </w:r>
      <w:r w:rsidR="00AF4BB3" w:rsidRPr="00AD7810">
        <w:t>urgent’ applications be dealt with in a timely manner, for example</w:t>
      </w:r>
      <w:r w:rsidRPr="00AD7810">
        <w:t xml:space="preserve"> research or vaccine</w:t>
      </w:r>
      <w:r w:rsidR="00336386" w:rsidRPr="00AD7810">
        <w:t>s</w:t>
      </w:r>
      <w:r w:rsidRPr="00AD7810">
        <w:t xml:space="preserve"> in response to </w:t>
      </w:r>
      <w:r w:rsidR="00336386" w:rsidRPr="00AD7810">
        <w:t xml:space="preserve">a </w:t>
      </w:r>
      <w:r w:rsidRPr="00AD7810">
        <w:t>pandemic? Presumably</w:t>
      </w:r>
      <w:r w:rsidR="00423518">
        <w:t>,</w:t>
      </w:r>
      <w:r w:rsidRPr="00AD7810">
        <w:t xml:space="preserve"> these would not fit </w:t>
      </w:r>
      <w:r w:rsidR="00423518">
        <w:t>within</w:t>
      </w:r>
      <w:r w:rsidRPr="00AD7810">
        <w:t xml:space="preserve"> </w:t>
      </w:r>
      <w:r w:rsidR="00423518">
        <w:t xml:space="preserve">the </w:t>
      </w:r>
      <w:r w:rsidRPr="00AD7810">
        <w:t xml:space="preserve">permit or expedited </w:t>
      </w:r>
      <w:r w:rsidR="00423518">
        <w:t>licence category</w:t>
      </w:r>
      <w:r w:rsidRPr="00AD7810">
        <w:t xml:space="preserve"> as not much may be known about them</w:t>
      </w:r>
      <w:r w:rsidR="00336386" w:rsidRPr="00AD7810">
        <w:t xml:space="preserve">. </w:t>
      </w:r>
    </w:p>
    <w:p w14:paraId="26568DBA" w14:textId="2174A674" w:rsidR="00DB4B6B" w:rsidRPr="00AD7810" w:rsidRDefault="00B04D54" w:rsidP="00FD33A3">
      <w:pPr>
        <w:jc w:val="both"/>
      </w:pPr>
      <w:r w:rsidRPr="00AD7810">
        <w:t xml:space="preserve">In a research environment there may not be </w:t>
      </w:r>
      <w:r w:rsidR="00423518">
        <w:t xml:space="preserve">a </w:t>
      </w:r>
      <w:r w:rsidRPr="00AD7810">
        <w:t>decrease in cost or timeframes when seeking a licence</w:t>
      </w:r>
      <w:r w:rsidR="00183363">
        <w:t xml:space="preserve"> since most research is </w:t>
      </w:r>
      <w:r w:rsidRPr="00AD7810">
        <w:t xml:space="preserve">‘novel’ and as such likely to require a full assessment. </w:t>
      </w:r>
      <w:r w:rsidR="007979CE">
        <w:t>We</w:t>
      </w:r>
      <w:r w:rsidR="00DB4B6B" w:rsidRPr="00AD7810">
        <w:t xml:space="preserve"> assum</w:t>
      </w:r>
      <w:r w:rsidR="007979CE">
        <w:t>e</w:t>
      </w:r>
      <w:r w:rsidR="00DB4B6B" w:rsidRPr="00AD7810">
        <w:t xml:space="preserve"> that a full </w:t>
      </w:r>
      <w:r w:rsidR="00DB4B6B" w:rsidRPr="00AD7810">
        <w:lastRenderedPageBreak/>
        <w:t xml:space="preserve">assessment would </w:t>
      </w:r>
      <w:r w:rsidR="007979CE">
        <w:t xml:space="preserve">take </w:t>
      </w:r>
      <w:r w:rsidR="00DB4B6B" w:rsidRPr="00AD7810">
        <w:t>no longer tha</w:t>
      </w:r>
      <w:r w:rsidR="000F51B5" w:rsidRPr="00AD7810">
        <w:t xml:space="preserve">n the current timeframe for obtaining a </w:t>
      </w:r>
      <w:r w:rsidR="00DB4B6B" w:rsidRPr="00AD7810">
        <w:t>DNIR</w:t>
      </w:r>
      <w:r w:rsidRPr="00AD7810">
        <w:t xml:space="preserve"> </w:t>
      </w:r>
      <w:r w:rsidR="000F51B5" w:rsidRPr="00AD7810">
        <w:t xml:space="preserve">licence. </w:t>
      </w:r>
      <w:r w:rsidR="007979CE">
        <w:t xml:space="preserve">If this is the case, </w:t>
      </w:r>
      <w:r w:rsidR="00711506">
        <w:t>there</w:t>
      </w:r>
      <w:r w:rsidR="007979CE">
        <w:t xml:space="preserve"> would </w:t>
      </w:r>
      <w:r w:rsidR="00711506">
        <w:t>be no</w:t>
      </w:r>
      <w:r w:rsidR="007979CE">
        <w:t xml:space="preserve"> benefit from decrease</w:t>
      </w:r>
      <w:r w:rsidR="003449AC">
        <w:t>d</w:t>
      </w:r>
      <w:r w:rsidR="007979CE">
        <w:t xml:space="preserve"> time frames, </w:t>
      </w:r>
      <w:r w:rsidR="00711506">
        <w:t xml:space="preserve">but </w:t>
      </w:r>
      <w:r w:rsidR="007979CE">
        <w:t xml:space="preserve">applicants would be no worse </w:t>
      </w:r>
      <w:r w:rsidR="00711506">
        <w:t>off than</w:t>
      </w:r>
      <w:r w:rsidR="007979CE">
        <w:t xml:space="preserve"> </w:t>
      </w:r>
      <w:r w:rsidR="00711506">
        <w:t xml:space="preserve">under </w:t>
      </w:r>
      <w:r w:rsidR="007979CE">
        <w:t xml:space="preserve">the current system. </w:t>
      </w:r>
      <w:r w:rsidR="00DB4B6B" w:rsidRPr="00AD7810">
        <w:t>It is unclear if there would</w:t>
      </w:r>
      <w:r w:rsidRPr="00AD7810">
        <w:t xml:space="preserve"> be additional administration for organisation to records </w:t>
      </w:r>
      <w:r w:rsidR="00711506">
        <w:t xml:space="preserve">and monitor </w:t>
      </w:r>
      <w:r w:rsidRPr="00AD7810">
        <w:t>different licence type</w:t>
      </w:r>
      <w:r w:rsidR="003449AC">
        <w:t>s</w:t>
      </w:r>
      <w:r w:rsidR="00DB4B6B" w:rsidRPr="00AD7810">
        <w:t>.</w:t>
      </w:r>
      <w:r w:rsidRPr="00AD7810">
        <w:t xml:space="preserve"> </w:t>
      </w:r>
    </w:p>
    <w:p w14:paraId="0E4D6ECA" w14:textId="64854716" w:rsidR="005275B8" w:rsidRPr="00AD7810" w:rsidRDefault="005275B8" w:rsidP="00FD33A3">
      <w:pPr>
        <w:jc w:val="both"/>
      </w:pPr>
      <w:r w:rsidRPr="00AD7810">
        <w:t xml:space="preserve">Ultimately dealings will have the same risk assessment applied to them and associated conditions, regardless of the model implemented. A dealing that is suitable for an expedited assessment will still be an expedited assessment under option B and under option C. Option B </w:t>
      </w:r>
      <w:r w:rsidR="005B33DF">
        <w:t>will have the criteria for each licence type in one clear section, whereas Option C will have criteria for each licence type divided between the different dealing types.</w:t>
      </w:r>
      <w:r w:rsidRPr="00AD7810">
        <w:t xml:space="preserve"> Depending on the number of dealings that meet these requirements, it may be cumbersome reviewing </w:t>
      </w:r>
      <w:r w:rsidR="005B33DF">
        <w:t xml:space="preserve">a </w:t>
      </w:r>
      <w:proofErr w:type="gramStart"/>
      <w:r w:rsidR="005B33DF">
        <w:t>lengthy criteria</w:t>
      </w:r>
      <w:proofErr w:type="gramEnd"/>
      <w:r w:rsidR="005B33DF">
        <w:t xml:space="preserve"> under Option B</w:t>
      </w:r>
      <w:r w:rsidR="005B33DF" w:rsidRPr="00AD7810">
        <w:t xml:space="preserve"> </w:t>
      </w:r>
      <w:r w:rsidRPr="00AD7810">
        <w:t xml:space="preserve">to determine if </w:t>
      </w:r>
      <w:r w:rsidR="00DF5669">
        <w:t>a</w:t>
      </w:r>
      <w:r w:rsidRPr="00AD7810">
        <w:t xml:space="preserve"> particular dealing is included in the section. In this case, breaking the dealings into </w:t>
      </w:r>
      <w:r w:rsidR="005B33DF">
        <w:t>dealing types as per Option C.</w:t>
      </w:r>
      <w:r w:rsidRPr="00AD7810">
        <w:t xml:space="preserve">  may make it easier for applicants and IBCs to </w:t>
      </w:r>
      <w:r w:rsidR="00AF4483">
        <w:t>find</w:t>
      </w:r>
      <w:r w:rsidRPr="00AD7810">
        <w:t xml:space="preserve"> a particular dealing </w:t>
      </w:r>
      <w:r w:rsidR="00AF4483">
        <w:t>within a category</w:t>
      </w:r>
      <w:r w:rsidRPr="00AD7810">
        <w:t>. As noted in the consultation RIS, there will be some dealings that fit into more than one category, leading to duplication of dealings</w:t>
      </w:r>
      <w:r w:rsidR="00AF4483">
        <w:t xml:space="preserve"> listed</w:t>
      </w:r>
      <w:r w:rsidRPr="00AD7810">
        <w:t xml:space="preserve"> </w:t>
      </w:r>
      <w:r w:rsidR="00AF4483">
        <w:t>across</w:t>
      </w:r>
      <w:r w:rsidRPr="00AD7810">
        <w:t xml:space="preserve"> the categories and resulting in lengthier delegated legislation.  In this case, the number of dealings which meet </w:t>
      </w:r>
      <w:r w:rsidR="00AF4483">
        <w:t xml:space="preserve">each of the </w:t>
      </w:r>
      <w:r w:rsidRPr="00AD7810">
        <w:t>different licence types may be a factor in determining the best option for licences.</w:t>
      </w:r>
    </w:p>
    <w:p w14:paraId="62656412" w14:textId="1EF76980" w:rsidR="00735853" w:rsidRPr="00AD7810" w:rsidRDefault="00735853" w:rsidP="00B95774">
      <w:pPr>
        <w:pStyle w:val="Heading1"/>
      </w:pPr>
      <w:r w:rsidRPr="00AD7810">
        <w:t>Option C specific</w:t>
      </w:r>
      <w:r w:rsidR="0005407D">
        <w:t xml:space="preserve"> feedback</w:t>
      </w:r>
    </w:p>
    <w:p w14:paraId="65CF8B58" w14:textId="2C25F59C" w:rsidR="00404F64" w:rsidRPr="00AD7810" w:rsidRDefault="001F24EB" w:rsidP="00FD33A3">
      <w:pPr>
        <w:jc w:val="both"/>
      </w:pPr>
      <w:r w:rsidRPr="00AD7810">
        <w:t xml:space="preserve">While option C notes that the risk associated with </w:t>
      </w:r>
      <w:r w:rsidR="00B631D5">
        <w:t>a</w:t>
      </w:r>
      <w:r w:rsidRPr="00AD7810">
        <w:t xml:space="preserve"> dealing is the secondary consideration, the risk level still determines whether the dealing is non-notifiable, </w:t>
      </w:r>
      <w:r w:rsidR="001333FF" w:rsidRPr="00AD7810">
        <w:t>notifiable,</w:t>
      </w:r>
      <w:r w:rsidRPr="00AD7810">
        <w:t xml:space="preserve"> or licenced (permit, expedited or full assessment). The difference being that dealings are also </w:t>
      </w:r>
      <w:r w:rsidR="00B631D5">
        <w:t>categorised</w:t>
      </w:r>
      <w:r w:rsidRPr="00AD7810">
        <w:t xml:space="preserve"> based on the type of dealing. </w:t>
      </w:r>
      <w:r w:rsidR="00B631D5">
        <w:t>Categorising</w:t>
      </w:r>
      <w:r w:rsidRPr="00AD7810">
        <w:t xml:space="preserve"> dealings based on the type of dealing may be useful in assigning applications to appropriate persons e.g. clinical trial and medical applications </w:t>
      </w:r>
      <w:r w:rsidR="00B631D5">
        <w:t xml:space="preserve">being reviewed by </w:t>
      </w:r>
      <w:r w:rsidR="00676D5E">
        <w:t>members of the</w:t>
      </w:r>
      <w:r w:rsidRPr="00AD7810">
        <w:t xml:space="preserve"> IBC </w:t>
      </w:r>
      <w:r w:rsidR="00676D5E">
        <w:t xml:space="preserve">with medical application expertise, </w:t>
      </w:r>
      <w:r w:rsidRPr="00AD7810">
        <w:t xml:space="preserve">while dealings involving intentional release </w:t>
      </w:r>
      <w:r w:rsidR="00676D5E">
        <w:t>of plants in field trial</w:t>
      </w:r>
      <w:r w:rsidR="003449AC">
        <w:t>s</w:t>
      </w:r>
      <w:r w:rsidR="00676D5E">
        <w:t xml:space="preserve"> being reviewed by members with expertise in plant research</w:t>
      </w:r>
      <w:r w:rsidRPr="00AD7810">
        <w:t xml:space="preserve">. This could </w:t>
      </w:r>
      <w:r w:rsidR="00D7132D">
        <w:t>also help t</w:t>
      </w:r>
      <w:r w:rsidRPr="00AD7810">
        <w:t>he OGTR where there are teams that are experts in those niche areas</w:t>
      </w:r>
      <w:r w:rsidR="00D7132D">
        <w:t xml:space="preserve"> and the dealing category direct</w:t>
      </w:r>
      <w:r w:rsidR="003449AC">
        <w:t>s</w:t>
      </w:r>
      <w:r w:rsidR="00D7132D">
        <w:t xml:space="preserve"> the </w:t>
      </w:r>
      <w:r w:rsidRPr="00AD7810">
        <w:t>applications to the right people/resources. However, the number of categories could make the system appear overly complex and difficult to understand (option B certainly appears from diagrams to be simpler and ‘look’ more streamlined).</w:t>
      </w:r>
      <w:r w:rsidR="00D7132D">
        <w:t xml:space="preserve"> Also noting the difficulties already discussed in assigning a</w:t>
      </w:r>
      <w:r w:rsidR="00C96D96">
        <w:t>n</w:t>
      </w:r>
      <w:r w:rsidR="00D7132D">
        <w:t xml:space="preserve"> </w:t>
      </w:r>
      <w:r w:rsidR="00C96D96">
        <w:t>application</w:t>
      </w:r>
      <w:r w:rsidR="00D7132D">
        <w:t xml:space="preserve"> to a </w:t>
      </w:r>
      <w:r w:rsidR="00C96D96">
        <w:t xml:space="preserve">category based on the dealing </w:t>
      </w:r>
      <w:r w:rsidR="00D7132D">
        <w:t>type.</w:t>
      </w:r>
    </w:p>
    <w:p w14:paraId="4C8CAAC8" w14:textId="13AA23CA" w:rsidR="00A054C4" w:rsidRPr="00AD7810" w:rsidRDefault="00F062AB" w:rsidP="00FD33A3">
      <w:pPr>
        <w:jc w:val="both"/>
      </w:pPr>
      <w:r w:rsidRPr="00AD7810">
        <w:t>In option C, why does the contained dealing category only include the expedited licence type? Would there not be cases where a permit could be issued</w:t>
      </w:r>
      <w:r w:rsidR="00735853" w:rsidRPr="00AD7810">
        <w:t xml:space="preserve">? </w:t>
      </w:r>
      <w:r w:rsidRPr="00AD7810">
        <w:t xml:space="preserve">While there is no release into the environment, </w:t>
      </w:r>
      <w:r w:rsidR="007D1E77">
        <w:t>is there the potential a</w:t>
      </w:r>
      <w:r w:rsidRPr="00AD7810">
        <w:t xml:space="preserve"> full assessment </w:t>
      </w:r>
      <w:r w:rsidR="007D1E77">
        <w:t xml:space="preserve">would be </w:t>
      </w:r>
      <w:r w:rsidRPr="00AD7810">
        <w:t xml:space="preserve">required </w:t>
      </w:r>
      <w:r w:rsidR="007D1E77">
        <w:t>for a</w:t>
      </w:r>
      <w:r w:rsidRPr="00AD7810">
        <w:t xml:space="preserve"> dealing </w:t>
      </w:r>
      <w:r w:rsidR="007D1E77">
        <w:t xml:space="preserve">as the work </w:t>
      </w:r>
      <w:r w:rsidR="00C728B8">
        <w:t xml:space="preserve">poses a risk to </w:t>
      </w:r>
      <w:r w:rsidRPr="00AD7810">
        <w:t>human health</w:t>
      </w:r>
      <w:r w:rsidR="00C728B8">
        <w:t xml:space="preserve"> and not much is know</w:t>
      </w:r>
      <w:r w:rsidR="00F40BDC">
        <w:t>n</w:t>
      </w:r>
      <w:r w:rsidR="00C728B8">
        <w:t xml:space="preserve"> about the organism/traits</w:t>
      </w:r>
      <w:r w:rsidRPr="00AD7810">
        <w:t>? It is difficult to think o</w:t>
      </w:r>
      <w:r w:rsidR="00735853" w:rsidRPr="00AD7810">
        <w:t>f</w:t>
      </w:r>
      <w:r w:rsidRPr="00AD7810">
        <w:t xml:space="preserve"> a non-notifiable dealing </w:t>
      </w:r>
      <w:r w:rsidR="00735853" w:rsidRPr="00AD7810">
        <w:t xml:space="preserve">that could fit </w:t>
      </w:r>
      <w:r w:rsidRPr="00AD7810">
        <w:t xml:space="preserve">under dealings involving intentional release or clinical trials and medical applications. </w:t>
      </w:r>
      <w:r w:rsidR="00735853" w:rsidRPr="00AD7810">
        <w:t xml:space="preserve">Is there a reason that </w:t>
      </w:r>
      <w:r w:rsidRPr="00AD7810">
        <w:t xml:space="preserve">notifiable and non-notifiable </w:t>
      </w:r>
      <w:r w:rsidR="00A054C4" w:rsidRPr="00AD7810">
        <w:t xml:space="preserve">need to be first categorised into contained, intentional release and medical/clinical trial categories? </w:t>
      </w:r>
      <w:r w:rsidR="00797625">
        <w:t xml:space="preserve">At any rate, Option B allows more flexibility than Option C in </w:t>
      </w:r>
      <w:proofErr w:type="gramStart"/>
      <w:r w:rsidR="00797625">
        <w:t>all of</w:t>
      </w:r>
      <w:proofErr w:type="gramEnd"/>
      <w:r w:rsidR="00797625">
        <w:t xml:space="preserve"> these ways. </w:t>
      </w:r>
      <w:r w:rsidR="00A054C4" w:rsidRPr="00AD7810">
        <w:t xml:space="preserve"> </w:t>
      </w:r>
    </w:p>
    <w:p w14:paraId="1078E9EE" w14:textId="31B74F80" w:rsidR="00F310AD" w:rsidRPr="00AD7810" w:rsidRDefault="00F310AD" w:rsidP="00B95774">
      <w:pPr>
        <w:pStyle w:val="Heading1"/>
      </w:pPr>
      <w:r w:rsidRPr="00AD7810">
        <w:t>Dealings cover</w:t>
      </w:r>
      <w:r w:rsidR="00C728B8">
        <w:t>ed</w:t>
      </w:r>
      <w:r w:rsidRPr="00AD7810">
        <w:t xml:space="preserve"> by another regulator</w:t>
      </w:r>
    </w:p>
    <w:p w14:paraId="1437B90E" w14:textId="5DADADC7" w:rsidR="003A17DB" w:rsidRPr="00AD7810" w:rsidRDefault="00FC250F" w:rsidP="00FD33A3">
      <w:pPr>
        <w:jc w:val="both"/>
      </w:pPr>
      <w:r w:rsidRPr="00AD7810">
        <w:t xml:space="preserve">In principle, </w:t>
      </w:r>
      <w:r w:rsidR="00EE4F97" w:rsidRPr="00AD7810">
        <w:t xml:space="preserve">QUT supports </w:t>
      </w:r>
      <w:r w:rsidRPr="00AD7810">
        <w:t xml:space="preserve">cases </w:t>
      </w:r>
      <w:r w:rsidR="00F310AD" w:rsidRPr="00AD7810">
        <w:t>where dealings with GMOs are regulated under another authori</w:t>
      </w:r>
      <w:r w:rsidR="00011EC5">
        <w:t>ty and the</w:t>
      </w:r>
      <w:r w:rsidR="00F310AD" w:rsidRPr="00AD7810">
        <w:t xml:space="preserve"> </w:t>
      </w:r>
      <w:r w:rsidR="00011EC5">
        <w:t>R</w:t>
      </w:r>
      <w:r w:rsidR="00F310AD" w:rsidRPr="00AD7810">
        <w:t xml:space="preserve">egulator provides advice during the assessment of applications by the other </w:t>
      </w:r>
      <w:r w:rsidR="00011EC5">
        <w:t>authority</w:t>
      </w:r>
      <w:r w:rsidR="00F310AD" w:rsidRPr="00AD7810">
        <w:t xml:space="preserve">.  </w:t>
      </w:r>
      <w:r w:rsidRPr="00AD7810">
        <w:t>However, we are unsure as to h</w:t>
      </w:r>
      <w:r w:rsidR="00F310AD" w:rsidRPr="00AD7810">
        <w:t>ow would this work in practice</w:t>
      </w:r>
      <w:r w:rsidR="00011EC5">
        <w:t>.</w:t>
      </w:r>
      <w:r w:rsidR="00F310AD" w:rsidRPr="00AD7810">
        <w:t xml:space="preserve"> </w:t>
      </w:r>
      <w:r w:rsidRPr="00AD7810">
        <w:t xml:space="preserve">It is noted in the consultation RIS </w:t>
      </w:r>
      <w:r w:rsidR="00011EC5">
        <w:t xml:space="preserve">that </w:t>
      </w:r>
      <w:r w:rsidRPr="00AD7810">
        <w:t xml:space="preserve">these </w:t>
      </w:r>
      <w:r w:rsidR="007A1C75" w:rsidRPr="00AD7810">
        <w:t>types</w:t>
      </w:r>
      <w:r w:rsidRPr="00AD7810">
        <w:t xml:space="preserve"> of dealings would be classed as notifiable dealings</w:t>
      </w:r>
      <w:r w:rsidR="007A1C75" w:rsidRPr="00AD7810">
        <w:t xml:space="preserve">, yet notifiable dealings are assessed by an IBC. If an applicant </w:t>
      </w:r>
      <w:r w:rsidR="00011EC5" w:rsidRPr="00AD7810">
        <w:t>applies</w:t>
      </w:r>
      <w:r w:rsidR="007A1C75" w:rsidRPr="00AD7810">
        <w:t xml:space="preserve"> to an IBC, and they approve the work as a notifiable dealing</w:t>
      </w:r>
      <w:r w:rsidR="00B614D2">
        <w:t>,</w:t>
      </w:r>
      <w:r w:rsidR="007A1C75" w:rsidRPr="00AD7810">
        <w:t xml:space="preserve"> </w:t>
      </w:r>
      <w:r w:rsidR="005C0905" w:rsidRPr="00AD7810">
        <w:t>as the work is</w:t>
      </w:r>
      <w:r w:rsidR="007A1C75" w:rsidRPr="00AD7810">
        <w:t xml:space="preserve"> being assessed by another regulator</w:t>
      </w:r>
      <w:r w:rsidR="00B614D2">
        <w:t xml:space="preserve"> and meets this authorisation pathway</w:t>
      </w:r>
      <w:r w:rsidR="00A47B79" w:rsidRPr="00AD7810">
        <w:t xml:space="preserve">, this </w:t>
      </w:r>
      <w:r w:rsidR="001333FF">
        <w:t>suggests</w:t>
      </w:r>
      <w:r w:rsidR="00A47B79" w:rsidRPr="00AD7810">
        <w:t xml:space="preserve"> to the </w:t>
      </w:r>
      <w:r w:rsidR="00A47B79" w:rsidRPr="00AD7810">
        <w:lastRenderedPageBreak/>
        <w:t xml:space="preserve">applicant that this work may now begin. How does the OGTR become aware of the dealing, and therefore know to consult with the other </w:t>
      </w:r>
      <w:r w:rsidR="00B614D2">
        <w:t>authority</w:t>
      </w:r>
      <w:r w:rsidR="00A47B79" w:rsidRPr="00AD7810">
        <w:t xml:space="preserve"> (given IBCs report notifiable dealings annually)? </w:t>
      </w:r>
      <w:r w:rsidR="00DA3E10" w:rsidRPr="00AD7810">
        <w:t xml:space="preserve">Would the OGTR ‘approve’ certain </w:t>
      </w:r>
      <w:r w:rsidR="00B614D2">
        <w:t>authorities</w:t>
      </w:r>
      <w:r w:rsidR="00DA3E10" w:rsidRPr="00AD7810">
        <w:t xml:space="preserve"> where </w:t>
      </w:r>
      <w:r w:rsidR="00B614D2">
        <w:t>they have agreed to notify the OGTR</w:t>
      </w:r>
      <w:r w:rsidR="00DA3E10" w:rsidRPr="00AD7810">
        <w:t>? What i</w:t>
      </w:r>
      <w:r w:rsidR="00B614D2">
        <w:t>f</w:t>
      </w:r>
      <w:r w:rsidR="00DA3E10" w:rsidRPr="00AD7810">
        <w:t xml:space="preserve"> there are </w:t>
      </w:r>
      <w:r w:rsidR="00B614D2">
        <w:t>other authorities</w:t>
      </w:r>
      <w:r w:rsidR="00DA3E10" w:rsidRPr="00AD7810">
        <w:t xml:space="preserve"> who do not want to have the </w:t>
      </w:r>
      <w:r w:rsidR="00B614D2">
        <w:t>Re</w:t>
      </w:r>
      <w:r w:rsidR="00DA3E10" w:rsidRPr="00AD7810">
        <w:t>gulator provide advice</w:t>
      </w:r>
      <w:r w:rsidR="00B614D2">
        <w:t>?</w:t>
      </w:r>
      <w:r w:rsidR="00DA3E10" w:rsidRPr="00AD7810">
        <w:t xml:space="preserve"> </w:t>
      </w:r>
      <w:r w:rsidR="00511B89">
        <w:t>T</w:t>
      </w:r>
      <w:r w:rsidR="0005143B" w:rsidRPr="00AD7810">
        <w:t xml:space="preserve">here </w:t>
      </w:r>
      <w:r w:rsidR="00511B89">
        <w:t xml:space="preserve">is </w:t>
      </w:r>
      <w:r w:rsidR="0005143B" w:rsidRPr="00AD7810">
        <w:t>a risk of other authorities ‘overregulating’ GMOs (note this has previously occurred)</w:t>
      </w:r>
      <w:r w:rsidR="00511B89">
        <w:t>.</w:t>
      </w:r>
      <w:r w:rsidR="0005143B" w:rsidRPr="00AD7810">
        <w:t xml:space="preserve"> Is the OGTR able to </w:t>
      </w:r>
      <w:r w:rsidR="00F310AD" w:rsidRPr="00AD7810">
        <w:t xml:space="preserve">step in where another authority imposes requirements </w:t>
      </w:r>
      <w:r w:rsidR="003A17DB" w:rsidRPr="00AD7810">
        <w:t>due to the material being a</w:t>
      </w:r>
      <w:r w:rsidR="00F310AD" w:rsidRPr="00AD7810">
        <w:t xml:space="preserve"> GMO</w:t>
      </w:r>
      <w:r w:rsidR="003A17DB" w:rsidRPr="00AD7810">
        <w:t>,</w:t>
      </w:r>
      <w:r w:rsidR="00F310AD" w:rsidRPr="00AD7810">
        <w:t xml:space="preserve"> but the requirement is above and beyond OGTR requirements</w:t>
      </w:r>
      <w:r w:rsidR="003A17DB" w:rsidRPr="00AD7810">
        <w:t>?</w:t>
      </w:r>
      <w:r w:rsidR="007739E9">
        <w:t xml:space="preserve"> W</w:t>
      </w:r>
      <w:r w:rsidR="007739E9" w:rsidRPr="00AD7810">
        <w:t>ho would have oversight of the</w:t>
      </w:r>
      <w:r w:rsidR="007739E9">
        <w:t>se</w:t>
      </w:r>
      <w:r w:rsidR="007739E9" w:rsidRPr="00AD7810">
        <w:t xml:space="preserve"> dealing</w:t>
      </w:r>
      <w:r w:rsidR="007739E9">
        <w:t>s</w:t>
      </w:r>
      <w:r w:rsidR="007739E9" w:rsidRPr="00AD7810">
        <w:t>, the OGTR or the other authority, or both?</w:t>
      </w:r>
    </w:p>
    <w:p w14:paraId="20224EB7" w14:textId="58E5959A" w:rsidR="000B1DC1" w:rsidRPr="00AD7810" w:rsidRDefault="003A17DB" w:rsidP="00FD33A3">
      <w:pPr>
        <w:jc w:val="both"/>
      </w:pPr>
      <w:r w:rsidRPr="00AD7810">
        <w:t xml:space="preserve">To enable the system to work </w:t>
      </w:r>
      <w:r w:rsidR="00B0107D" w:rsidRPr="00AD7810">
        <w:t xml:space="preserve">there would need to be a </w:t>
      </w:r>
      <w:r w:rsidRPr="00AD7810">
        <w:t xml:space="preserve">list of </w:t>
      </w:r>
      <w:r w:rsidR="00764CC6" w:rsidRPr="00AD7810">
        <w:t>‘approved</w:t>
      </w:r>
      <w:r w:rsidRPr="00AD7810">
        <w:t xml:space="preserve"> other authorities’ for which </w:t>
      </w:r>
      <w:r w:rsidR="00B0107D" w:rsidRPr="00AD7810">
        <w:t xml:space="preserve">the OGTR has determined they assess risks to people and the environment, and there is an agreement in place for OGTR advice to be included in the other authority’s assessment. </w:t>
      </w:r>
      <w:r w:rsidR="00764CC6" w:rsidRPr="00AD7810">
        <w:t>There would need to be a way for the OGTR to be made aware of these dealings, perhaps through a question on the other authorit</w:t>
      </w:r>
      <w:r w:rsidR="00511B89">
        <w:t>y’s</w:t>
      </w:r>
      <w:r w:rsidR="00764CC6" w:rsidRPr="00AD7810">
        <w:t xml:space="preserve"> application form, or </w:t>
      </w:r>
      <w:r w:rsidR="00511B89">
        <w:t xml:space="preserve">a notification system </w:t>
      </w:r>
      <w:r w:rsidR="00764CC6" w:rsidRPr="00AD7810">
        <w:t xml:space="preserve">through IBCs. </w:t>
      </w:r>
      <w:r w:rsidR="00511B89">
        <w:t xml:space="preserve">Note this would impose </w:t>
      </w:r>
      <w:r w:rsidR="007739E9">
        <w:t xml:space="preserve">more burden on other authorities and/or IBCs. </w:t>
      </w:r>
      <w:r w:rsidR="000B1DC1" w:rsidRPr="00AD7810">
        <w:t xml:space="preserve">Is there a risk that applicants could apply through another authority and IBCs would not be aware of the </w:t>
      </w:r>
      <w:r w:rsidR="00804608" w:rsidRPr="00AD7810">
        <w:t xml:space="preserve">GMO dealing? </w:t>
      </w:r>
      <w:r w:rsidR="00764CC6" w:rsidRPr="00AD7810">
        <w:t xml:space="preserve">Perhaps instead of these dealings being notifiable, they </w:t>
      </w:r>
      <w:r w:rsidR="007739E9">
        <w:t>could be</w:t>
      </w:r>
      <w:r w:rsidR="00764CC6" w:rsidRPr="00AD7810">
        <w:t xml:space="preserve"> </w:t>
      </w:r>
      <w:r w:rsidR="000B1DC1" w:rsidRPr="00AD7810">
        <w:t>submitted to the OGTR</w:t>
      </w:r>
      <w:r w:rsidR="007739E9">
        <w:t>, via the IBC</w:t>
      </w:r>
      <w:r w:rsidR="000B1DC1" w:rsidRPr="00AD7810">
        <w:t xml:space="preserve"> as a specific </w:t>
      </w:r>
      <w:r w:rsidR="0057309F" w:rsidRPr="00AD7810">
        <w:t>application</w:t>
      </w:r>
      <w:r w:rsidR="000B1DC1" w:rsidRPr="00AD7810">
        <w:t xml:space="preserve"> type?</w:t>
      </w:r>
      <w:r w:rsidR="007739E9">
        <w:t xml:space="preserve"> </w:t>
      </w:r>
    </w:p>
    <w:p w14:paraId="3015AAD5" w14:textId="756D5FF9" w:rsidR="00C573A6" w:rsidRPr="00AD7810" w:rsidRDefault="00C573A6" w:rsidP="00B95774">
      <w:pPr>
        <w:pStyle w:val="Heading1"/>
      </w:pPr>
      <w:r w:rsidRPr="00AD7810">
        <w:t>GMO register</w:t>
      </w:r>
    </w:p>
    <w:p w14:paraId="646AD2BD" w14:textId="64CDC73B" w:rsidR="006C70D8" w:rsidRPr="00AD7810" w:rsidRDefault="00C573A6" w:rsidP="00FD33A3">
      <w:pPr>
        <w:jc w:val="both"/>
      </w:pPr>
      <w:r w:rsidRPr="00AD7810">
        <w:t>QUT supports better usage of the GMO register</w:t>
      </w:r>
      <w:r w:rsidR="00C040DF" w:rsidRPr="00AD7810">
        <w:t xml:space="preserve"> where the risks of the dealing are </w:t>
      </w:r>
      <w:r w:rsidR="00DE7337" w:rsidRPr="00AD7810">
        <w:t xml:space="preserve">negligible based on scientific knowledge and accumulated regulatory experience. </w:t>
      </w:r>
      <w:r w:rsidR="00082A5E" w:rsidRPr="00AD7810">
        <w:t xml:space="preserve">We agree this could be changed from </w:t>
      </w:r>
      <w:r w:rsidR="00C2789A" w:rsidRPr="00AD7810">
        <w:t xml:space="preserve">a </w:t>
      </w:r>
      <w:r w:rsidR="00082A5E" w:rsidRPr="00AD7810">
        <w:t>legislative instrument to administrative, p</w:t>
      </w:r>
      <w:r w:rsidR="00DE7337" w:rsidRPr="00AD7810">
        <w:t xml:space="preserve">rovided there is a transparent system involving </w:t>
      </w:r>
      <w:r w:rsidR="00082A5E" w:rsidRPr="00AD7810">
        <w:t xml:space="preserve">government, </w:t>
      </w:r>
      <w:r w:rsidR="00DE7337" w:rsidRPr="00AD7810">
        <w:t xml:space="preserve">public and stakeholder </w:t>
      </w:r>
      <w:r w:rsidR="00560EBF" w:rsidRPr="00AD7810">
        <w:t xml:space="preserve">input. </w:t>
      </w:r>
      <w:r w:rsidR="00C2789A" w:rsidRPr="00AD7810">
        <w:t>The consultation RIS</w:t>
      </w:r>
      <w:r w:rsidR="00082A5E" w:rsidRPr="00AD7810">
        <w:t xml:space="preserve"> </w:t>
      </w:r>
      <w:r w:rsidR="00560EBF" w:rsidRPr="00AD7810">
        <w:t>n</w:t>
      </w:r>
      <w:r w:rsidR="00C07236" w:rsidRPr="00AD7810">
        <w:t>ote</w:t>
      </w:r>
      <w:r w:rsidR="00C2789A" w:rsidRPr="00AD7810">
        <w:t>s</w:t>
      </w:r>
      <w:r w:rsidR="00C07236" w:rsidRPr="00AD7810">
        <w:t xml:space="preserve"> the change in eligibility criteria for a listing on the GMO register, that would allow dealings not previously authorised under the G</w:t>
      </w:r>
      <w:r w:rsidR="00451317">
        <w:t>ene Technology</w:t>
      </w:r>
      <w:r w:rsidR="00C07236" w:rsidRPr="00AD7810">
        <w:t xml:space="preserve"> </w:t>
      </w:r>
      <w:r w:rsidR="00C2789A" w:rsidRPr="00AD7810">
        <w:t xml:space="preserve">Act </w:t>
      </w:r>
      <w:r w:rsidR="00C07236" w:rsidRPr="00AD7810">
        <w:t>to be included. What sort of dealings that have</w:t>
      </w:r>
      <w:r w:rsidR="006C70D8" w:rsidRPr="00AD7810">
        <w:t xml:space="preserve"> not previously </w:t>
      </w:r>
      <w:r w:rsidR="00082A5E" w:rsidRPr="00AD7810">
        <w:t>been a</w:t>
      </w:r>
      <w:r w:rsidR="006C70D8" w:rsidRPr="00AD7810">
        <w:t xml:space="preserve">uthorised under the </w:t>
      </w:r>
      <w:r w:rsidR="00451317" w:rsidRPr="00AD7810">
        <w:t>G</w:t>
      </w:r>
      <w:r w:rsidR="00451317">
        <w:t>ene Technology</w:t>
      </w:r>
      <w:r w:rsidR="006C70D8" w:rsidRPr="00AD7810">
        <w:t xml:space="preserve"> Act could be added to the GMO register? Is this to capture dealings that may have been </w:t>
      </w:r>
      <w:r w:rsidR="00082A5E" w:rsidRPr="00AD7810">
        <w:t>undertaken</w:t>
      </w:r>
      <w:r w:rsidR="006C70D8" w:rsidRPr="00AD7810">
        <w:t xml:space="preserve"> overseas and </w:t>
      </w:r>
      <w:r w:rsidR="00082A5E" w:rsidRPr="00AD7810">
        <w:t>have a</w:t>
      </w:r>
      <w:r w:rsidR="006C70D8" w:rsidRPr="00AD7810">
        <w:t xml:space="preserve"> history of safe</w:t>
      </w:r>
      <w:r w:rsidR="00082A5E" w:rsidRPr="00AD7810">
        <w:t xml:space="preserve"> use</w:t>
      </w:r>
      <w:r w:rsidR="001367DF" w:rsidRPr="00AD7810">
        <w:t>,</w:t>
      </w:r>
      <w:r w:rsidR="006C70D8" w:rsidRPr="00AD7810">
        <w:t xml:space="preserve"> but have not previously been seen/used in Australia? </w:t>
      </w:r>
      <w:r w:rsidR="001367DF" w:rsidRPr="00AD7810">
        <w:t>If so, t</w:t>
      </w:r>
      <w:r w:rsidR="00C81EB6" w:rsidRPr="00AD7810">
        <w:t>his seems to be inconsistent with the consultation RIS that noted overseas risk analyses are likely to be relevant for human health and safety, but risks posed to the environ</w:t>
      </w:r>
      <w:r w:rsidR="00807AAF" w:rsidRPr="00AD7810">
        <w:t>ment may differ between countries.</w:t>
      </w:r>
    </w:p>
    <w:p w14:paraId="0EC2C51F" w14:textId="654C2C81" w:rsidR="00791650" w:rsidRPr="00AD7810" w:rsidRDefault="00791650" w:rsidP="00B95774">
      <w:pPr>
        <w:pStyle w:val="Heading1"/>
      </w:pPr>
      <w:r w:rsidRPr="00AD7810">
        <w:t xml:space="preserve">Definition of </w:t>
      </w:r>
      <w:r w:rsidR="00BB1073">
        <w:t>‘</w:t>
      </w:r>
      <w:r w:rsidRPr="00AD7810">
        <w:t>gene technology</w:t>
      </w:r>
      <w:r w:rsidR="00BB1073">
        <w:t>’</w:t>
      </w:r>
    </w:p>
    <w:p w14:paraId="6110E7F0" w14:textId="5436BD8F" w:rsidR="00791650" w:rsidRPr="00AD7810" w:rsidRDefault="0091541D" w:rsidP="00FD33A3">
      <w:pPr>
        <w:jc w:val="both"/>
      </w:pPr>
      <w:r w:rsidRPr="00AD7810">
        <w:t>QUT s</w:t>
      </w:r>
      <w:r w:rsidR="00791650" w:rsidRPr="00AD7810">
        <w:t xml:space="preserve">upport changes to </w:t>
      </w:r>
      <w:r w:rsidR="00CA49D6" w:rsidRPr="00AD7810">
        <w:t xml:space="preserve">the </w:t>
      </w:r>
      <w:r w:rsidR="00791650" w:rsidRPr="00AD7810">
        <w:t xml:space="preserve">definition </w:t>
      </w:r>
      <w:r w:rsidR="002A3FF4" w:rsidRPr="00AD7810">
        <w:t xml:space="preserve">of </w:t>
      </w:r>
      <w:r w:rsidR="00A93889" w:rsidRPr="00AD7810">
        <w:t>‘</w:t>
      </w:r>
      <w:r w:rsidR="002A3FF4" w:rsidRPr="00AD7810">
        <w:t>gene technology</w:t>
      </w:r>
      <w:r w:rsidR="00A93889" w:rsidRPr="00AD7810">
        <w:t>’</w:t>
      </w:r>
      <w:r w:rsidR="002A3FF4" w:rsidRPr="00AD7810">
        <w:t xml:space="preserve"> </w:t>
      </w:r>
      <w:r w:rsidR="00791650" w:rsidRPr="00AD7810">
        <w:t xml:space="preserve">to include genes or other genetic material that have been created, in addition to those that have been modified. Regarding techniques </w:t>
      </w:r>
      <w:r w:rsidR="00614332" w:rsidRPr="00AD7810">
        <w:t xml:space="preserve">that are considered gene technology, </w:t>
      </w:r>
      <w:r w:rsidR="00791650" w:rsidRPr="00AD7810">
        <w:t>i</w:t>
      </w:r>
      <w:r w:rsidR="00614332" w:rsidRPr="00AD7810">
        <w:t xml:space="preserve">s inclusion on the </w:t>
      </w:r>
      <w:r w:rsidR="00791650" w:rsidRPr="00AD7810">
        <w:t>regulations</w:t>
      </w:r>
      <w:r w:rsidR="00614332" w:rsidRPr="00AD7810">
        <w:t xml:space="preserve"> the best option? This would limit the ability to add, change or remove techniques</w:t>
      </w:r>
      <w:r w:rsidR="00E31255" w:rsidRPr="00AD7810">
        <w:t xml:space="preserve"> (past examples included CRISPR, Talen)</w:t>
      </w:r>
      <w:r w:rsidR="00614332" w:rsidRPr="00AD7810">
        <w:t xml:space="preserve"> and a more flexible option may be better suited. </w:t>
      </w:r>
      <w:r w:rsidR="00791650" w:rsidRPr="00AD7810">
        <w:t xml:space="preserve"> </w:t>
      </w:r>
      <w:r w:rsidR="00614332" w:rsidRPr="00AD7810">
        <w:t xml:space="preserve">It would make sense for the </w:t>
      </w:r>
      <w:r w:rsidR="00791650" w:rsidRPr="00AD7810">
        <w:t xml:space="preserve">details of included techniques be </w:t>
      </w:r>
      <w:r w:rsidR="00E31255" w:rsidRPr="00AD7810">
        <w:t>listed</w:t>
      </w:r>
      <w:r w:rsidR="00791650" w:rsidRPr="00AD7810">
        <w:t xml:space="preserve"> in delegated legislation so that it can be changed in a timely manner</w:t>
      </w:r>
      <w:r w:rsidR="00E31255" w:rsidRPr="00AD7810">
        <w:t>.</w:t>
      </w:r>
      <w:r w:rsidR="00791650" w:rsidRPr="00AD7810">
        <w:t xml:space="preserve"> Binding determinations from the Regulator as to what is or is not a technique are likely to be </w:t>
      </w:r>
      <w:r w:rsidR="001333FF" w:rsidRPr="00AD7810">
        <w:t>more definitive and clearer</w:t>
      </w:r>
      <w:r w:rsidR="00791650" w:rsidRPr="00AD7810">
        <w:t xml:space="preserve"> compared to ‘guidance</w:t>
      </w:r>
      <w:r w:rsidR="00E31255" w:rsidRPr="00AD7810">
        <w:t xml:space="preserve"> regarding the interpretation</w:t>
      </w:r>
      <w:r w:rsidR="00791650" w:rsidRPr="00AD7810">
        <w:t>’ which may be more subjective and open to different perspectives. It may be that a combination of the two is required depending on what techniques are included or excluded in the definition.</w:t>
      </w:r>
    </w:p>
    <w:p w14:paraId="4715ADE4" w14:textId="6720C694" w:rsidR="00791650" w:rsidRPr="00AD7810" w:rsidRDefault="00791650" w:rsidP="00B95774">
      <w:pPr>
        <w:pStyle w:val="Heading1"/>
      </w:pPr>
      <w:r w:rsidRPr="00AD7810">
        <w:t xml:space="preserve">Definition of </w:t>
      </w:r>
      <w:r w:rsidR="00BB1073">
        <w:t>‘</w:t>
      </w:r>
      <w:r w:rsidRPr="00AD7810">
        <w:t>genetically modified organism</w:t>
      </w:r>
      <w:r w:rsidR="00BB1073">
        <w:t>’</w:t>
      </w:r>
    </w:p>
    <w:p w14:paraId="25BCEF6D" w14:textId="324B9353" w:rsidR="00791650" w:rsidRPr="00AD7810" w:rsidRDefault="00EB75BF" w:rsidP="00FD33A3">
      <w:pPr>
        <w:jc w:val="both"/>
      </w:pPr>
      <w:r w:rsidRPr="00AD7810">
        <w:t>QUT s</w:t>
      </w:r>
      <w:r w:rsidR="00791650" w:rsidRPr="00AD7810">
        <w:t xml:space="preserve">upport the change to the definition </w:t>
      </w:r>
      <w:r w:rsidR="00A93889" w:rsidRPr="00AD7810">
        <w:t xml:space="preserve">of ‘genetically modified organism’ </w:t>
      </w:r>
      <w:r w:rsidR="00791650" w:rsidRPr="00AD7810">
        <w:t>to cover the creation o</w:t>
      </w:r>
      <w:r w:rsidR="00A93889" w:rsidRPr="00AD7810">
        <w:t>f</w:t>
      </w:r>
      <w:r w:rsidR="00791650" w:rsidRPr="00AD7810">
        <w:t xml:space="preserve"> organisms by gene technology. As per the case study on page 12 of the explanatory paper, it is not clear where organisms that have been modified for example by a construct, that has subsequently </w:t>
      </w:r>
      <w:r w:rsidR="00791650" w:rsidRPr="00AD7810">
        <w:lastRenderedPageBreak/>
        <w:t xml:space="preserve">been removed, fit within the definition of genetically modified organisms. </w:t>
      </w:r>
      <w:r w:rsidR="00B17218" w:rsidRPr="00AD7810">
        <w:t>Where possible the updated definition of ‘genetically modified organism’ s</w:t>
      </w:r>
      <w:r w:rsidR="00791650" w:rsidRPr="00AD7810">
        <w:t xml:space="preserve">hould </w:t>
      </w:r>
      <w:r w:rsidR="00B17218" w:rsidRPr="00AD7810">
        <w:t>attempt</w:t>
      </w:r>
      <w:r w:rsidR="00791650" w:rsidRPr="00AD7810">
        <w:t xml:space="preserve"> to clarify where these organism</w:t>
      </w:r>
      <w:r w:rsidR="00B17218" w:rsidRPr="00AD7810">
        <w:t>s</w:t>
      </w:r>
      <w:r w:rsidR="00791650" w:rsidRPr="00AD7810">
        <w:t xml:space="preserve"> fit</w:t>
      </w:r>
      <w:r w:rsidR="00B17218" w:rsidRPr="00AD7810">
        <w:t>. Alternatively, delegated legislation should specify how these organisms should be classified.</w:t>
      </w:r>
    </w:p>
    <w:p w14:paraId="378ADF39" w14:textId="1E3FC801" w:rsidR="00791650" w:rsidRPr="00AD7810" w:rsidRDefault="00791650" w:rsidP="00B95774">
      <w:pPr>
        <w:pStyle w:val="Heading1"/>
      </w:pPr>
      <w:r w:rsidRPr="00AD7810">
        <w:t xml:space="preserve">Definition of </w:t>
      </w:r>
      <w:r w:rsidR="00BB1073">
        <w:t>‘</w:t>
      </w:r>
      <w:r w:rsidRPr="00AD7810">
        <w:t>deal with</w:t>
      </w:r>
      <w:r w:rsidR="00BB1073">
        <w:t>’</w:t>
      </w:r>
    </w:p>
    <w:p w14:paraId="65A267FE" w14:textId="65D99789" w:rsidR="00791650" w:rsidRPr="00AD7810" w:rsidRDefault="007D76F9" w:rsidP="00FD33A3">
      <w:pPr>
        <w:jc w:val="both"/>
      </w:pPr>
      <w:r w:rsidRPr="00AD7810">
        <w:t>QUT s</w:t>
      </w:r>
      <w:r w:rsidR="00791650" w:rsidRPr="00AD7810">
        <w:t xml:space="preserve">upport the streamlining of the definition </w:t>
      </w:r>
      <w:r w:rsidR="00761D62">
        <w:t xml:space="preserve">deal with, </w:t>
      </w:r>
      <w:r w:rsidR="00791650" w:rsidRPr="00AD7810">
        <w:t xml:space="preserve">into </w:t>
      </w:r>
      <w:r w:rsidRPr="00AD7810">
        <w:t xml:space="preserve">the </w:t>
      </w:r>
      <w:r w:rsidR="00791650" w:rsidRPr="00AD7810">
        <w:t xml:space="preserve">three concepts make, </w:t>
      </w:r>
      <w:r w:rsidR="0056784C" w:rsidRPr="00AD7810">
        <w:t>supply,</w:t>
      </w:r>
      <w:r w:rsidR="00791650" w:rsidRPr="00AD7810">
        <w:t xml:space="preserve"> and use </w:t>
      </w:r>
      <w:r w:rsidRPr="00AD7810">
        <w:t xml:space="preserve">of </w:t>
      </w:r>
      <w:r w:rsidR="00791650" w:rsidRPr="00AD7810">
        <w:t xml:space="preserve">the GMO. Where there is overlap of the concepts with other </w:t>
      </w:r>
      <w:r w:rsidR="00761D62">
        <w:t>authorities</w:t>
      </w:r>
      <w:r w:rsidR="00791650" w:rsidRPr="00AD7810">
        <w:t xml:space="preserve">, it is preferable to consider the other </w:t>
      </w:r>
      <w:r w:rsidR="0056784C">
        <w:t>authority’s</w:t>
      </w:r>
      <w:r w:rsidR="00791650" w:rsidRPr="00AD7810">
        <w:t xml:space="preserve"> role as part of the risk tiered approach, rather than revising the definition</w:t>
      </w:r>
      <w:r w:rsidRPr="00AD7810">
        <w:t xml:space="preserve"> to </w:t>
      </w:r>
      <w:r w:rsidR="00761D62">
        <w:t>remove</w:t>
      </w:r>
      <w:r w:rsidRPr="00AD7810">
        <w:t xml:space="preserve"> the overlap and inadvertently exclude </w:t>
      </w:r>
      <w:r w:rsidR="00934B53" w:rsidRPr="00AD7810">
        <w:t xml:space="preserve">dealings that should fall under the </w:t>
      </w:r>
      <w:r w:rsidR="00761D62" w:rsidRPr="00AD7810">
        <w:t>G</w:t>
      </w:r>
      <w:r w:rsidR="00761D62">
        <w:t>ene Technology</w:t>
      </w:r>
      <w:r w:rsidR="00934B53" w:rsidRPr="00AD7810">
        <w:t xml:space="preserve"> scheme.</w:t>
      </w:r>
    </w:p>
    <w:p w14:paraId="1057AF75" w14:textId="19146A18" w:rsidR="002A07C5" w:rsidRPr="00AD7810" w:rsidRDefault="00F05CF5" w:rsidP="00B95774">
      <w:pPr>
        <w:pStyle w:val="Heading1"/>
      </w:pPr>
      <w:r w:rsidRPr="00AD7810">
        <w:t>IT system update</w:t>
      </w:r>
    </w:p>
    <w:p w14:paraId="0D341541" w14:textId="6FC21A44" w:rsidR="00266C39" w:rsidRPr="00AD7810" w:rsidRDefault="00C9665B" w:rsidP="00FD33A3">
      <w:pPr>
        <w:jc w:val="both"/>
      </w:pPr>
      <w:r w:rsidRPr="00AD7810">
        <w:t xml:space="preserve">While we welcome an update </w:t>
      </w:r>
      <w:r w:rsidR="00761D62">
        <w:t xml:space="preserve">to </w:t>
      </w:r>
      <w:r w:rsidRPr="00AD7810">
        <w:t>the OGTR</w:t>
      </w:r>
      <w:r w:rsidR="00062E41" w:rsidRPr="00AD7810">
        <w:t>’s</w:t>
      </w:r>
      <w:r w:rsidRPr="00AD7810">
        <w:t xml:space="preserve"> IT system and the efficiencies this will </w:t>
      </w:r>
      <w:r w:rsidR="00062E41" w:rsidRPr="00AD7810">
        <w:t>provide</w:t>
      </w:r>
      <w:r w:rsidRPr="00AD7810">
        <w:t>, we have concerns over how this will impact organisations</w:t>
      </w:r>
      <w:r w:rsidR="005A07C9">
        <w:t>’</w:t>
      </w:r>
      <w:r w:rsidRPr="00AD7810">
        <w:t xml:space="preserve"> current systems. Of particular concern is the review and submission of licence applications. </w:t>
      </w:r>
      <w:r w:rsidR="00F60486" w:rsidRPr="00AD7810">
        <w:t>The current</w:t>
      </w:r>
      <w:r w:rsidR="00062E41" w:rsidRPr="00AD7810">
        <w:t xml:space="preserve"> </w:t>
      </w:r>
      <w:r w:rsidR="00F60486" w:rsidRPr="00AD7810">
        <w:t xml:space="preserve">OGTR licence applications are a document available on the website. </w:t>
      </w:r>
      <w:r w:rsidR="00743B02" w:rsidRPr="00AD7810">
        <w:t>In our current system, a</w:t>
      </w:r>
      <w:r w:rsidR="00F60486" w:rsidRPr="00AD7810">
        <w:t>pplicants</w:t>
      </w:r>
      <w:r w:rsidR="00743B02" w:rsidRPr="00AD7810">
        <w:t xml:space="preserve"> can be directed </w:t>
      </w:r>
      <w:r w:rsidR="00F60486" w:rsidRPr="00AD7810">
        <w:t xml:space="preserve">to this link where they complete the form and submit it to </w:t>
      </w:r>
      <w:r w:rsidR="00A1013E">
        <w:t>the</w:t>
      </w:r>
      <w:r w:rsidR="00F60486" w:rsidRPr="00AD7810">
        <w:t xml:space="preserve"> IBC. The IBC reviews the application</w:t>
      </w:r>
      <w:r w:rsidR="00F35651" w:rsidRPr="00AD7810">
        <w:t xml:space="preserve"> and </w:t>
      </w:r>
      <w:r w:rsidR="00F60486" w:rsidRPr="00AD7810">
        <w:t>can request changes</w:t>
      </w:r>
      <w:r w:rsidR="00A1013E">
        <w:t>,</w:t>
      </w:r>
      <w:r w:rsidR="00F60486" w:rsidRPr="00AD7810">
        <w:t xml:space="preserve"> if required</w:t>
      </w:r>
      <w:r w:rsidR="00F35651" w:rsidRPr="00AD7810">
        <w:t>, which the applicant makes on the form and resubmit</w:t>
      </w:r>
      <w:r w:rsidR="00A1013E">
        <w:t>s</w:t>
      </w:r>
      <w:r w:rsidR="00F35651" w:rsidRPr="00AD7810">
        <w:t xml:space="preserve"> to the IBC. </w:t>
      </w:r>
      <w:r w:rsidR="00743B02" w:rsidRPr="00AD7810">
        <w:t xml:space="preserve">Once the IBC is happy with the application form, it is </w:t>
      </w:r>
      <w:r w:rsidR="00A1013E">
        <w:t xml:space="preserve">endorsed and </w:t>
      </w:r>
      <w:r w:rsidR="00743B02" w:rsidRPr="00AD7810">
        <w:t>submitted to the OGTR. This works very well from the applicant and IBC point of view.</w:t>
      </w:r>
      <w:r w:rsidR="001E27CD" w:rsidRPr="00AD7810">
        <w:t xml:space="preserve"> If the licence applications become an online submission, the applicant </w:t>
      </w:r>
      <w:r w:rsidR="009D6245">
        <w:t>will require an efficien</w:t>
      </w:r>
      <w:r w:rsidR="00587AC8">
        <w:t>t</w:t>
      </w:r>
      <w:r w:rsidR="009D6245">
        <w:t xml:space="preserve"> mechanism to</w:t>
      </w:r>
      <w:r w:rsidR="009D6245" w:rsidRPr="00AD7810">
        <w:t xml:space="preserve"> </w:t>
      </w:r>
      <w:r w:rsidR="001E27CD" w:rsidRPr="00AD7810">
        <w:t xml:space="preserve">complete the application and then provide it to the IBC for review. </w:t>
      </w:r>
      <w:r w:rsidR="00953796" w:rsidRPr="00AD7810">
        <w:t xml:space="preserve">For </w:t>
      </w:r>
      <w:r w:rsidR="0056784C" w:rsidRPr="00AD7810">
        <w:t>example,</w:t>
      </w:r>
      <w:r w:rsidR="00953796" w:rsidRPr="00AD7810">
        <w:t xml:space="preserve"> the current OGTR online submission</w:t>
      </w:r>
      <w:r w:rsidR="00A1013E">
        <w:t xml:space="preserve"> forms</w:t>
      </w:r>
      <w:r w:rsidR="00E735DF" w:rsidRPr="00AD7810">
        <w:t xml:space="preserve"> allow an applicant to generate a PDF of the application which could be provided to </w:t>
      </w:r>
      <w:r w:rsidR="0037336D" w:rsidRPr="00AD7810">
        <w:t xml:space="preserve">an IBC. If the IBC requires changes the applicant must go </w:t>
      </w:r>
      <w:r w:rsidR="00A1013E">
        <w:t>in</w:t>
      </w:r>
      <w:r w:rsidR="0037336D" w:rsidRPr="00AD7810">
        <w:t xml:space="preserve">to the OGTR application form </w:t>
      </w:r>
      <w:r w:rsidR="00C61C8E" w:rsidRPr="00AD7810">
        <w:t>and make the changes, create a new PDF, and then resubmit to the IBC. There is no easy way for the IBC to see what has changed (e.g. via tracked changes) and needs to review the entire document again. Once the IBC has endorsed the application, an authorised person needs to submit the application to the OGTR. This would not normally be the applicant</w:t>
      </w:r>
      <w:r w:rsidR="00A42131">
        <w:t>, so the new system must also make it easy for an authorised person to access</w:t>
      </w:r>
      <w:r w:rsidR="00CC7E22">
        <w:t xml:space="preserve"> applicants</w:t>
      </w:r>
      <w:r w:rsidR="00A42131">
        <w:t>’</w:t>
      </w:r>
      <w:r w:rsidR="00CC7E22">
        <w:t xml:space="preserve"> form</w:t>
      </w:r>
      <w:r w:rsidR="00A42131">
        <w:t>s</w:t>
      </w:r>
      <w:r w:rsidR="00CC7E22">
        <w:t>.</w:t>
      </w:r>
      <w:r w:rsidR="00C61C8E" w:rsidRPr="00AD7810">
        <w:t xml:space="preserve"> </w:t>
      </w:r>
      <w:r w:rsidR="00B2486C" w:rsidRPr="00AD7810">
        <w:t>Additionally, the current OGTR application</w:t>
      </w:r>
      <w:r w:rsidR="00CC7E22">
        <w:t xml:space="preserve"> forms</w:t>
      </w:r>
      <w:r w:rsidR="00B2486C" w:rsidRPr="00AD7810">
        <w:t xml:space="preserve"> require someone to log into an application at least once every 10 business days, otherwise the form is deleted. The time between an applicant applying to the IBC and the IBC reviewing the application can easily be more than 10 business days. If the applicant forgets to log into the </w:t>
      </w:r>
      <w:r w:rsidR="00220593" w:rsidRPr="00AD7810">
        <w:t xml:space="preserve">OGTR </w:t>
      </w:r>
      <w:r w:rsidR="0056784C" w:rsidRPr="00AD7810">
        <w:t>system,</w:t>
      </w:r>
      <w:r w:rsidR="00220593" w:rsidRPr="00AD7810">
        <w:t xml:space="preserve"> their application is </w:t>
      </w:r>
      <w:proofErr w:type="gramStart"/>
      <w:r w:rsidR="00220593" w:rsidRPr="00AD7810">
        <w:t>deleted</w:t>
      </w:r>
      <w:proofErr w:type="gramEnd"/>
      <w:r w:rsidR="00220593" w:rsidRPr="00AD7810">
        <w:t xml:space="preserve"> and they have to re-enter the information that the IBC has already reviewed.</w:t>
      </w:r>
      <w:r w:rsidR="009B5854" w:rsidRPr="00AD7810">
        <w:t xml:space="preserve"> There is also the risk of an un-authorised person applying</w:t>
      </w:r>
      <w:r w:rsidR="00CC7E22">
        <w:t xml:space="preserve"> to the OGTR</w:t>
      </w:r>
      <w:r w:rsidR="009B5854" w:rsidRPr="00AD7810">
        <w:t xml:space="preserve"> before </w:t>
      </w:r>
      <w:r w:rsidR="00CC7E22">
        <w:t xml:space="preserve">an </w:t>
      </w:r>
      <w:r w:rsidR="009B5854" w:rsidRPr="00AD7810">
        <w:t>application</w:t>
      </w:r>
      <w:r w:rsidR="00CC7E22">
        <w:t xml:space="preserve"> has been</w:t>
      </w:r>
      <w:r w:rsidR="009B5854" w:rsidRPr="00AD7810">
        <w:t xml:space="preserve"> reviewed by the IBC.</w:t>
      </w:r>
    </w:p>
    <w:p w14:paraId="5B56BB78" w14:textId="59996BF6" w:rsidR="00266C39" w:rsidRPr="00CC7E22" w:rsidRDefault="00A9640B" w:rsidP="00B95774">
      <w:pPr>
        <w:pStyle w:val="Heading1"/>
      </w:pPr>
      <w:r w:rsidRPr="00CC7E22">
        <w:t>Conclusion</w:t>
      </w:r>
    </w:p>
    <w:p w14:paraId="632DD91A" w14:textId="391B6610" w:rsidR="00266C39" w:rsidRDefault="00266C39" w:rsidP="00FD33A3">
      <w:pPr>
        <w:jc w:val="both"/>
      </w:pPr>
      <w:r w:rsidRPr="00AD7810">
        <w:t xml:space="preserve">QUT </w:t>
      </w:r>
      <w:r w:rsidR="00F325D1">
        <w:t>would welcome the opportunity to</w:t>
      </w:r>
      <w:r w:rsidR="00A9640B" w:rsidRPr="00AD7810">
        <w:t xml:space="preserve"> provide feedback on further items such as </w:t>
      </w:r>
      <w:r w:rsidRPr="00AD7810">
        <w:t xml:space="preserve">delegated legislation following </w:t>
      </w:r>
      <w:r w:rsidR="00253361" w:rsidRPr="00AD7810">
        <w:t xml:space="preserve">a </w:t>
      </w:r>
      <w:r w:rsidRPr="00AD7810">
        <w:t xml:space="preserve">decision on the preferred </w:t>
      </w:r>
      <w:r w:rsidR="00253361" w:rsidRPr="00AD7810">
        <w:t>model for the scheme</w:t>
      </w:r>
      <w:r w:rsidRPr="00AD7810">
        <w:t>.</w:t>
      </w:r>
    </w:p>
    <w:sectPr w:rsidR="00266C39" w:rsidSect="000E625F">
      <w:headerReference w:type="first" r:id="rId8"/>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FB4DD" w14:textId="77777777" w:rsidR="00B945AB" w:rsidRDefault="00B945AB" w:rsidP="000E625F">
      <w:pPr>
        <w:spacing w:after="0" w:line="240" w:lineRule="auto"/>
      </w:pPr>
      <w:r>
        <w:separator/>
      </w:r>
    </w:p>
  </w:endnote>
  <w:endnote w:type="continuationSeparator" w:id="0">
    <w:p w14:paraId="20B35C20" w14:textId="77777777" w:rsidR="00B945AB" w:rsidRDefault="00B945AB" w:rsidP="000E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C8E1E" w14:textId="77777777" w:rsidR="00B945AB" w:rsidRDefault="00B945AB" w:rsidP="000E625F">
      <w:pPr>
        <w:spacing w:after="0" w:line="240" w:lineRule="auto"/>
      </w:pPr>
      <w:r>
        <w:separator/>
      </w:r>
    </w:p>
  </w:footnote>
  <w:footnote w:type="continuationSeparator" w:id="0">
    <w:p w14:paraId="23479EA9" w14:textId="77777777" w:rsidR="00B945AB" w:rsidRDefault="00B945AB" w:rsidP="000E6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5D5A" w14:textId="37ABB40E" w:rsidR="000E625F" w:rsidRDefault="00813DAA">
    <w:pPr>
      <w:pStyle w:val="Header"/>
    </w:pPr>
    <w:r>
      <w:rPr>
        <w:noProof/>
      </w:rPr>
      <w:ptab w:relativeTo="margin" w:alignment="center" w:leader="none"/>
    </w:r>
    <w:r w:rsidR="007317B0">
      <w:rPr>
        <w:noProof/>
        <w:lang w:eastAsia="en-AU"/>
      </w:rPr>
      <w:drawing>
        <wp:inline distT="0" distB="0" distL="0" distR="0" wp14:anchorId="51275247" wp14:editId="504062EF">
          <wp:extent cx="6246276" cy="13010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047 ArunSharma_Letterhead_header_F.pdf"/>
                  <pic:cNvPicPr/>
                </pic:nvPicPr>
                <pic:blipFill rotWithShape="1">
                  <a:blip r:embed="rId1"/>
                  <a:srcRect l="9855" r="13246"/>
                  <a:stretch/>
                </pic:blipFill>
                <pic:spPr bwMode="auto">
                  <a:xfrm>
                    <a:off x="0" y="0"/>
                    <a:ext cx="6447289" cy="1342898"/>
                  </a:xfrm>
                  <a:prstGeom prst="rect">
                    <a:avLst/>
                  </a:prstGeom>
                  <a:ln>
                    <a:noFill/>
                  </a:ln>
                  <a:extLst>
                    <a:ext uri="{53640926-AAD7-44D8-BBD7-CCE9431645EC}">
                      <a14:shadowObscured xmlns:a14="http://schemas.microsoft.com/office/drawing/2010/main"/>
                    </a:ext>
                  </a:extLst>
                </pic:spPr>
              </pic:pic>
            </a:graphicData>
          </a:graphic>
        </wp:inline>
      </w:drawing>
    </w:r>
  </w:p>
  <w:p w14:paraId="595E5AA5" w14:textId="77777777" w:rsidR="000E625F" w:rsidRDefault="000E6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D0FB7"/>
    <w:multiLevelType w:val="hybridMultilevel"/>
    <w:tmpl w:val="AC5261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A226954"/>
    <w:multiLevelType w:val="hybridMultilevel"/>
    <w:tmpl w:val="ECB457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EA"/>
    <w:rsid w:val="000001B2"/>
    <w:rsid w:val="00011EC5"/>
    <w:rsid w:val="00020923"/>
    <w:rsid w:val="0004130B"/>
    <w:rsid w:val="00044F3E"/>
    <w:rsid w:val="000506F2"/>
    <w:rsid w:val="0005143B"/>
    <w:rsid w:val="0005407D"/>
    <w:rsid w:val="00054C5A"/>
    <w:rsid w:val="000613EB"/>
    <w:rsid w:val="00062E41"/>
    <w:rsid w:val="000671D4"/>
    <w:rsid w:val="0007154E"/>
    <w:rsid w:val="0007168F"/>
    <w:rsid w:val="00082A5E"/>
    <w:rsid w:val="00085819"/>
    <w:rsid w:val="0008795D"/>
    <w:rsid w:val="00090649"/>
    <w:rsid w:val="000B1DC1"/>
    <w:rsid w:val="000B4212"/>
    <w:rsid w:val="000D246E"/>
    <w:rsid w:val="000D43D7"/>
    <w:rsid w:val="000D4EFE"/>
    <w:rsid w:val="000D7381"/>
    <w:rsid w:val="000E625F"/>
    <w:rsid w:val="000E76D4"/>
    <w:rsid w:val="000F3EB8"/>
    <w:rsid w:val="000F51B5"/>
    <w:rsid w:val="000F7317"/>
    <w:rsid w:val="001166AB"/>
    <w:rsid w:val="001313E4"/>
    <w:rsid w:val="001333FF"/>
    <w:rsid w:val="001367DF"/>
    <w:rsid w:val="00145E2A"/>
    <w:rsid w:val="00147A6F"/>
    <w:rsid w:val="001637A7"/>
    <w:rsid w:val="00167804"/>
    <w:rsid w:val="00181577"/>
    <w:rsid w:val="00183363"/>
    <w:rsid w:val="00186E91"/>
    <w:rsid w:val="001A24C3"/>
    <w:rsid w:val="001D3A40"/>
    <w:rsid w:val="001E27CD"/>
    <w:rsid w:val="001F24EB"/>
    <w:rsid w:val="001F5C78"/>
    <w:rsid w:val="002043F5"/>
    <w:rsid w:val="00207FEA"/>
    <w:rsid w:val="00220593"/>
    <w:rsid w:val="00221055"/>
    <w:rsid w:val="002372E1"/>
    <w:rsid w:val="0024708D"/>
    <w:rsid w:val="00251732"/>
    <w:rsid w:val="00253361"/>
    <w:rsid w:val="0025583B"/>
    <w:rsid w:val="00266C39"/>
    <w:rsid w:val="0028110E"/>
    <w:rsid w:val="00285E98"/>
    <w:rsid w:val="002A07C5"/>
    <w:rsid w:val="002A3FF4"/>
    <w:rsid w:val="002A7044"/>
    <w:rsid w:val="002B3CF7"/>
    <w:rsid w:val="002B4FD3"/>
    <w:rsid w:val="002B5FFA"/>
    <w:rsid w:val="002C16D8"/>
    <w:rsid w:val="002C4DC9"/>
    <w:rsid w:val="002D2912"/>
    <w:rsid w:val="002D3B0E"/>
    <w:rsid w:val="002E0617"/>
    <w:rsid w:val="002E378D"/>
    <w:rsid w:val="002E6E74"/>
    <w:rsid w:val="002F05AE"/>
    <w:rsid w:val="002F30A2"/>
    <w:rsid w:val="00301826"/>
    <w:rsid w:val="00303DE1"/>
    <w:rsid w:val="00305878"/>
    <w:rsid w:val="00316781"/>
    <w:rsid w:val="00336386"/>
    <w:rsid w:val="003449AC"/>
    <w:rsid w:val="00350327"/>
    <w:rsid w:val="0037336D"/>
    <w:rsid w:val="003750B5"/>
    <w:rsid w:val="003878F5"/>
    <w:rsid w:val="00393A6F"/>
    <w:rsid w:val="00397E98"/>
    <w:rsid w:val="003A17DB"/>
    <w:rsid w:val="003B538B"/>
    <w:rsid w:val="003B5586"/>
    <w:rsid w:val="003C2BDD"/>
    <w:rsid w:val="003D601D"/>
    <w:rsid w:val="00404F64"/>
    <w:rsid w:val="004060DF"/>
    <w:rsid w:val="00414E06"/>
    <w:rsid w:val="00423518"/>
    <w:rsid w:val="00450988"/>
    <w:rsid w:val="00451317"/>
    <w:rsid w:val="0045610F"/>
    <w:rsid w:val="00467DAF"/>
    <w:rsid w:val="00470BCB"/>
    <w:rsid w:val="004826A8"/>
    <w:rsid w:val="004B6E96"/>
    <w:rsid w:val="004C35E4"/>
    <w:rsid w:val="004F2FAE"/>
    <w:rsid w:val="00503116"/>
    <w:rsid w:val="00503E48"/>
    <w:rsid w:val="00511B89"/>
    <w:rsid w:val="00516C94"/>
    <w:rsid w:val="00523E68"/>
    <w:rsid w:val="005275B8"/>
    <w:rsid w:val="00530CB6"/>
    <w:rsid w:val="00530DEA"/>
    <w:rsid w:val="00554FD3"/>
    <w:rsid w:val="00560EBF"/>
    <w:rsid w:val="0056784C"/>
    <w:rsid w:val="0057309F"/>
    <w:rsid w:val="00574E41"/>
    <w:rsid w:val="00584B7F"/>
    <w:rsid w:val="00587AC8"/>
    <w:rsid w:val="00590AA3"/>
    <w:rsid w:val="005A07C9"/>
    <w:rsid w:val="005B33DF"/>
    <w:rsid w:val="005B4A60"/>
    <w:rsid w:val="005C0905"/>
    <w:rsid w:val="005D378E"/>
    <w:rsid w:val="005F5814"/>
    <w:rsid w:val="006108B1"/>
    <w:rsid w:val="00610B26"/>
    <w:rsid w:val="00614332"/>
    <w:rsid w:val="0062387B"/>
    <w:rsid w:val="00624B30"/>
    <w:rsid w:val="00631F82"/>
    <w:rsid w:val="00631FC1"/>
    <w:rsid w:val="00643A1A"/>
    <w:rsid w:val="00644D6E"/>
    <w:rsid w:val="00665F4E"/>
    <w:rsid w:val="00667762"/>
    <w:rsid w:val="00676D5E"/>
    <w:rsid w:val="006824B8"/>
    <w:rsid w:val="006943C2"/>
    <w:rsid w:val="00694DE1"/>
    <w:rsid w:val="006A2FBD"/>
    <w:rsid w:val="006A4ECB"/>
    <w:rsid w:val="006B0ADC"/>
    <w:rsid w:val="006C3167"/>
    <w:rsid w:val="006C57D0"/>
    <w:rsid w:val="006C70D8"/>
    <w:rsid w:val="006D06E8"/>
    <w:rsid w:val="006D6768"/>
    <w:rsid w:val="006E0996"/>
    <w:rsid w:val="006E1679"/>
    <w:rsid w:val="006E2177"/>
    <w:rsid w:val="006F2186"/>
    <w:rsid w:val="00706268"/>
    <w:rsid w:val="00711506"/>
    <w:rsid w:val="00724AE0"/>
    <w:rsid w:val="007317B0"/>
    <w:rsid w:val="00735853"/>
    <w:rsid w:val="0073673C"/>
    <w:rsid w:val="00742B08"/>
    <w:rsid w:val="00743B02"/>
    <w:rsid w:val="007453FB"/>
    <w:rsid w:val="007470EF"/>
    <w:rsid w:val="00751212"/>
    <w:rsid w:val="00761D62"/>
    <w:rsid w:val="00764CC6"/>
    <w:rsid w:val="007650FC"/>
    <w:rsid w:val="007739E9"/>
    <w:rsid w:val="00775DC7"/>
    <w:rsid w:val="00780002"/>
    <w:rsid w:val="00791650"/>
    <w:rsid w:val="007946A0"/>
    <w:rsid w:val="00797308"/>
    <w:rsid w:val="00797625"/>
    <w:rsid w:val="007979CE"/>
    <w:rsid w:val="007A1C75"/>
    <w:rsid w:val="007B0752"/>
    <w:rsid w:val="007B0A60"/>
    <w:rsid w:val="007D1E77"/>
    <w:rsid w:val="007D76F9"/>
    <w:rsid w:val="007E605A"/>
    <w:rsid w:val="007F05BE"/>
    <w:rsid w:val="00804608"/>
    <w:rsid w:val="00807AAF"/>
    <w:rsid w:val="008135D5"/>
    <w:rsid w:val="00813DAA"/>
    <w:rsid w:val="00817EEB"/>
    <w:rsid w:val="008248BB"/>
    <w:rsid w:val="00835A38"/>
    <w:rsid w:val="00846D41"/>
    <w:rsid w:val="00850D69"/>
    <w:rsid w:val="008828E2"/>
    <w:rsid w:val="008A340D"/>
    <w:rsid w:val="008B4DFC"/>
    <w:rsid w:val="008C4938"/>
    <w:rsid w:val="008D44A8"/>
    <w:rsid w:val="008E4410"/>
    <w:rsid w:val="008E6533"/>
    <w:rsid w:val="008F45A6"/>
    <w:rsid w:val="009121B0"/>
    <w:rsid w:val="0091541D"/>
    <w:rsid w:val="00917DAD"/>
    <w:rsid w:val="009270C1"/>
    <w:rsid w:val="00932B34"/>
    <w:rsid w:val="00934B53"/>
    <w:rsid w:val="00953796"/>
    <w:rsid w:val="00956040"/>
    <w:rsid w:val="0096569A"/>
    <w:rsid w:val="009672E0"/>
    <w:rsid w:val="009675E9"/>
    <w:rsid w:val="00981163"/>
    <w:rsid w:val="00982024"/>
    <w:rsid w:val="00994ADF"/>
    <w:rsid w:val="00994F48"/>
    <w:rsid w:val="009A5CB0"/>
    <w:rsid w:val="009B1DC5"/>
    <w:rsid w:val="009B5854"/>
    <w:rsid w:val="009C6215"/>
    <w:rsid w:val="009D1AB5"/>
    <w:rsid w:val="009D6245"/>
    <w:rsid w:val="009D6DFE"/>
    <w:rsid w:val="009D7F22"/>
    <w:rsid w:val="009E43FD"/>
    <w:rsid w:val="009F24ED"/>
    <w:rsid w:val="009F3939"/>
    <w:rsid w:val="00A0188E"/>
    <w:rsid w:val="00A054C4"/>
    <w:rsid w:val="00A1013E"/>
    <w:rsid w:val="00A108C0"/>
    <w:rsid w:val="00A2714E"/>
    <w:rsid w:val="00A42131"/>
    <w:rsid w:val="00A45260"/>
    <w:rsid w:val="00A47B79"/>
    <w:rsid w:val="00A70BBF"/>
    <w:rsid w:val="00A72989"/>
    <w:rsid w:val="00A82FCF"/>
    <w:rsid w:val="00A873F6"/>
    <w:rsid w:val="00A93889"/>
    <w:rsid w:val="00A9640B"/>
    <w:rsid w:val="00A96ED7"/>
    <w:rsid w:val="00AA104F"/>
    <w:rsid w:val="00AA284E"/>
    <w:rsid w:val="00AA47E1"/>
    <w:rsid w:val="00AC13EA"/>
    <w:rsid w:val="00AD2999"/>
    <w:rsid w:val="00AD7810"/>
    <w:rsid w:val="00AE4399"/>
    <w:rsid w:val="00AF4483"/>
    <w:rsid w:val="00AF4BB3"/>
    <w:rsid w:val="00B0107D"/>
    <w:rsid w:val="00B04D54"/>
    <w:rsid w:val="00B10AFA"/>
    <w:rsid w:val="00B17218"/>
    <w:rsid w:val="00B2486C"/>
    <w:rsid w:val="00B37924"/>
    <w:rsid w:val="00B46A3A"/>
    <w:rsid w:val="00B46E59"/>
    <w:rsid w:val="00B56011"/>
    <w:rsid w:val="00B614D2"/>
    <w:rsid w:val="00B631D5"/>
    <w:rsid w:val="00B64970"/>
    <w:rsid w:val="00B653B4"/>
    <w:rsid w:val="00B65B52"/>
    <w:rsid w:val="00B707A9"/>
    <w:rsid w:val="00B81BA8"/>
    <w:rsid w:val="00B924F8"/>
    <w:rsid w:val="00B945AB"/>
    <w:rsid w:val="00B95774"/>
    <w:rsid w:val="00BA3643"/>
    <w:rsid w:val="00BB1073"/>
    <w:rsid w:val="00BB2622"/>
    <w:rsid w:val="00BB594A"/>
    <w:rsid w:val="00BD0BDE"/>
    <w:rsid w:val="00BD480E"/>
    <w:rsid w:val="00C0068B"/>
    <w:rsid w:val="00C040DF"/>
    <w:rsid w:val="00C06844"/>
    <w:rsid w:val="00C07236"/>
    <w:rsid w:val="00C22BC0"/>
    <w:rsid w:val="00C2789A"/>
    <w:rsid w:val="00C303E2"/>
    <w:rsid w:val="00C324F5"/>
    <w:rsid w:val="00C34028"/>
    <w:rsid w:val="00C407B1"/>
    <w:rsid w:val="00C43EF1"/>
    <w:rsid w:val="00C573A6"/>
    <w:rsid w:val="00C611C8"/>
    <w:rsid w:val="00C61C8E"/>
    <w:rsid w:val="00C70470"/>
    <w:rsid w:val="00C728B8"/>
    <w:rsid w:val="00C81EB6"/>
    <w:rsid w:val="00C82DC2"/>
    <w:rsid w:val="00C83EDF"/>
    <w:rsid w:val="00C9665B"/>
    <w:rsid w:val="00C96D96"/>
    <w:rsid w:val="00CA49D6"/>
    <w:rsid w:val="00CC07C7"/>
    <w:rsid w:val="00CC3948"/>
    <w:rsid w:val="00CC77FA"/>
    <w:rsid w:val="00CC7E22"/>
    <w:rsid w:val="00CC7F35"/>
    <w:rsid w:val="00CD6B2F"/>
    <w:rsid w:val="00CD7C6C"/>
    <w:rsid w:val="00CE01FD"/>
    <w:rsid w:val="00CE0434"/>
    <w:rsid w:val="00CE3B9B"/>
    <w:rsid w:val="00CE4765"/>
    <w:rsid w:val="00CF0647"/>
    <w:rsid w:val="00D21250"/>
    <w:rsid w:val="00D21B07"/>
    <w:rsid w:val="00D353C7"/>
    <w:rsid w:val="00D51C98"/>
    <w:rsid w:val="00D7132D"/>
    <w:rsid w:val="00D71581"/>
    <w:rsid w:val="00DA3E10"/>
    <w:rsid w:val="00DB4B6B"/>
    <w:rsid w:val="00DC3CA5"/>
    <w:rsid w:val="00DE7337"/>
    <w:rsid w:val="00DF5669"/>
    <w:rsid w:val="00E021D9"/>
    <w:rsid w:val="00E04358"/>
    <w:rsid w:val="00E16B85"/>
    <w:rsid w:val="00E31255"/>
    <w:rsid w:val="00E32CFA"/>
    <w:rsid w:val="00E35767"/>
    <w:rsid w:val="00E35C91"/>
    <w:rsid w:val="00E42A67"/>
    <w:rsid w:val="00E45584"/>
    <w:rsid w:val="00E458C2"/>
    <w:rsid w:val="00E47389"/>
    <w:rsid w:val="00E53482"/>
    <w:rsid w:val="00E61A20"/>
    <w:rsid w:val="00E735DF"/>
    <w:rsid w:val="00E7432E"/>
    <w:rsid w:val="00E7577F"/>
    <w:rsid w:val="00E97C27"/>
    <w:rsid w:val="00EB75BF"/>
    <w:rsid w:val="00EE4D6E"/>
    <w:rsid w:val="00EE4F97"/>
    <w:rsid w:val="00EE7878"/>
    <w:rsid w:val="00EF5AE8"/>
    <w:rsid w:val="00EF71BE"/>
    <w:rsid w:val="00F05CF5"/>
    <w:rsid w:val="00F062AB"/>
    <w:rsid w:val="00F1251D"/>
    <w:rsid w:val="00F142FC"/>
    <w:rsid w:val="00F165FC"/>
    <w:rsid w:val="00F20DCB"/>
    <w:rsid w:val="00F26B58"/>
    <w:rsid w:val="00F310AD"/>
    <w:rsid w:val="00F325D1"/>
    <w:rsid w:val="00F32A92"/>
    <w:rsid w:val="00F35651"/>
    <w:rsid w:val="00F37C62"/>
    <w:rsid w:val="00F407F2"/>
    <w:rsid w:val="00F40BDC"/>
    <w:rsid w:val="00F40F39"/>
    <w:rsid w:val="00F5311C"/>
    <w:rsid w:val="00F60486"/>
    <w:rsid w:val="00F620F1"/>
    <w:rsid w:val="00F9758C"/>
    <w:rsid w:val="00FA06F8"/>
    <w:rsid w:val="00FA27DC"/>
    <w:rsid w:val="00FA6044"/>
    <w:rsid w:val="00FB090E"/>
    <w:rsid w:val="00FB1988"/>
    <w:rsid w:val="00FC2058"/>
    <w:rsid w:val="00FC250F"/>
    <w:rsid w:val="00FD33A3"/>
    <w:rsid w:val="00FD5B90"/>
    <w:rsid w:val="00FE11AA"/>
    <w:rsid w:val="00FE21DE"/>
    <w:rsid w:val="00FE57EF"/>
    <w:rsid w:val="00FF7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489386"/>
  <w15:chartTrackingRefBased/>
  <w15:docId w15:val="{0FBAADDA-5157-43BD-9A40-7B8AF41A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774"/>
    <w:pPr>
      <w:spacing w:before="24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34"/>
    <w:pPr>
      <w:ind w:left="720"/>
      <w:contextualSpacing/>
    </w:pPr>
  </w:style>
  <w:style w:type="paragraph" w:styleId="Header">
    <w:name w:val="header"/>
    <w:basedOn w:val="Normal"/>
    <w:link w:val="HeaderChar"/>
    <w:uiPriority w:val="99"/>
    <w:unhideWhenUsed/>
    <w:rsid w:val="000E6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25F"/>
  </w:style>
  <w:style w:type="paragraph" w:styleId="Footer">
    <w:name w:val="footer"/>
    <w:basedOn w:val="Normal"/>
    <w:link w:val="FooterChar"/>
    <w:uiPriority w:val="99"/>
    <w:unhideWhenUsed/>
    <w:rsid w:val="000E6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25F"/>
  </w:style>
  <w:style w:type="character" w:styleId="CommentReference">
    <w:name w:val="annotation reference"/>
    <w:basedOn w:val="DefaultParagraphFont"/>
    <w:uiPriority w:val="99"/>
    <w:semiHidden/>
    <w:unhideWhenUsed/>
    <w:rsid w:val="00530CB6"/>
    <w:rPr>
      <w:sz w:val="16"/>
      <w:szCs w:val="16"/>
    </w:rPr>
  </w:style>
  <w:style w:type="paragraph" w:styleId="CommentText">
    <w:name w:val="annotation text"/>
    <w:basedOn w:val="Normal"/>
    <w:link w:val="CommentTextChar"/>
    <w:uiPriority w:val="99"/>
    <w:semiHidden/>
    <w:unhideWhenUsed/>
    <w:rsid w:val="00530CB6"/>
    <w:pPr>
      <w:spacing w:line="240" w:lineRule="auto"/>
    </w:pPr>
    <w:rPr>
      <w:sz w:val="20"/>
      <w:szCs w:val="20"/>
    </w:rPr>
  </w:style>
  <w:style w:type="character" w:customStyle="1" w:styleId="CommentTextChar">
    <w:name w:val="Comment Text Char"/>
    <w:basedOn w:val="DefaultParagraphFont"/>
    <w:link w:val="CommentText"/>
    <w:uiPriority w:val="99"/>
    <w:semiHidden/>
    <w:rsid w:val="00530CB6"/>
    <w:rPr>
      <w:sz w:val="20"/>
      <w:szCs w:val="20"/>
    </w:rPr>
  </w:style>
  <w:style w:type="paragraph" w:styleId="CommentSubject">
    <w:name w:val="annotation subject"/>
    <w:basedOn w:val="CommentText"/>
    <w:next w:val="CommentText"/>
    <w:link w:val="CommentSubjectChar"/>
    <w:uiPriority w:val="99"/>
    <w:semiHidden/>
    <w:unhideWhenUsed/>
    <w:rsid w:val="00530CB6"/>
    <w:rPr>
      <w:b/>
      <w:bCs/>
    </w:rPr>
  </w:style>
  <w:style w:type="character" w:customStyle="1" w:styleId="CommentSubjectChar">
    <w:name w:val="Comment Subject Char"/>
    <w:basedOn w:val="CommentTextChar"/>
    <w:link w:val="CommentSubject"/>
    <w:uiPriority w:val="99"/>
    <w:semiHidden/>
    <w:rsid w:val="00530CB6"/>
    <w:rPr>
      <w:b/>
      <w:bCs/>
      <w:sz w:val="20"/>
      <w:szCs w:val="20"/>
    </w:rPr>
  </w:style>
  <w:style w:type="character" w:customStyle="1" w:styleId="Heading1Char">
    <w:name w:val="Heading 1 Char"/>
    <w:basedOn w:val="DefaultParagraphFont"/>
    <w:link w:val="Heading1"/>
    <w:uiPriority w:val="9"/>
    <w:rsid w:val="00B95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73513">
      <w:bodyDiv w:val="1"/>
      <w:marLeft w:val="0"/>
      <w:marRight w:val="0"/>
      <w:marTop w:val="0"/>
      <w:marBottom w:val="0"/>
      <w:divBdr>
        <w:top w:val="none" w:sz="0" w:space="0" w:color="auto"/>
        <w:left w:val="none" w:sz="0" w:space="0" w:color="auto"/>
        <w:bottom w:val="none" w:sz="0" w:space="0" w:color="auto"/>
        <w:right w:val="none" w:sz="0" w:space="0" w:color="auto"/>
      </w:divBdr>
    </w:div>
    <w:div w:id="499127782">
      <w:bodyDiv w:val="1"/>
      <w:marLeft w:val="0"/>
      <w:marRight w:val="0"/>
      <w:marTop w:val="0"/>
      <w:marBottom w:val="0"/>
      <w:divBdr>
        <w:top w:val="none" w:sz="0" w:space="0" w:color="auto"/>
        <w:left w:val="none" w:sz="0" w:space="0" w:color="auto"/>
        <w:bottom w:val="none" w:sz="0" w:space="0" w:color="auto"/>
        <w:right w:val="none" w:sz="0" w:space="0" w:color="auto"/>
      </w:divBdr>
    </w:div>
    <w:div w:id="533812824">
      <w:bodyDiv w:val="1"/>
      <w:marLeft w:val="0"/>
      <w:marRight w:val="0"/>
      <w:marTop w:val="0"/>
      <w:marBottom w:val="0"/>
      <w:divBdr>
        <w:top w:val="none" w:sz="0" w:space="0" w:color="auto"/>
        <w:left w:val="none" w:sz="0" w:space="0" w:color="auto"/>
        <w:bottom w:val="none" w:sz="0" w:space="0" w:color="auto"/>
        <w:right w:val="none" w:sz="0" w:space="0" w:color="auto"/>
      </w:divBdr>
    </w:div>
    <w:div w:id="6564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31AF3-46FF-4253-8CAE-DCF2AC2E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3354</Words>
  <Characters>19122</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Queensland University of Technology (QUT) - National Gene Technology Scheme </vt:lpstr>
    </vt:vector>
  </TitlesOfParts>
  <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University of Technology (QUT) submission to the National Gene Technology Scheme, Consultation Regulation Impact Statement (CRIS)</dc:title>
  <dc:subject>Consultation</dc:subject>
  <dc:creator>Queensland University of Technology (QUT)</dc:creator>
  <cp:keywords/>
  <dc:description/>
  <cp:lastModifiedBy>MASCHKE, Elvia</cp:lastModifiedBy>
  <cp:revision>2</cp:revision>
  <dcterms:created xsi:type="dcterms:W3CDTF">2021-08-31T00:51:00Z</dcterms:created>
  <dcterms:modified xsi:type="dcterms:W3CDTF">2021-08-31T00:51:00Z</dcterms:modified>
</cp:coreProperties>
</file>