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E3672" w14:textId="52D894B6" w:rsidR="00F10984" w:rsidRPr="00C83CF7" w:rsidRDefault="00C83CF7" w:rsidP="00C83CF7">
      <w:pPr>
        <w:jc w:val="right"/>
      </w:pPr>
      <w:r>
        <w:rPr>
          <w:noProof/>
          <w:lang w:val="en-AU" w:eastAsia="en-AU"/>
        </w:rPr>
        <w:drawing>
          <wp:inline distT="0" distB="0" distL="0" distR="0" wp14:anchorId="59CDF0D8" wp14:editId="4C9D696E">
            <wp:extent cx="1928088" cy="1021976"/>
            <wp:effectExtent l="0" t="0" r="0" b="6985"/>
            <wp:docPr id="2" name="Picture 2" descr="National Gene Technology Scheme - An Australian, State and Territory Governments Collabor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ional Gene Technology Scheme - An Australian, State and Territory Governments Collaboration  Logo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3588" cy="1051394"/>
                    </a:xfrm>
                    <a:prstGeom prst="rect">
                      <a:avLst/>
                    </a:prstGeom>
                  </pic:spPr>
                </pic:pic>
              </a:graphicData>
            </a:graphic>
          </wp:inline>
        </w:drawing>
      </w:r>
    </w:p>
    <w:p w14:paraId="5248CA5B" w14:textId="02138EC5" w:rsidR="00F10984" w:rsidRPr="00191A2E" w:rsidRDefault="00F10984" w:rsidP="00C83CF7">
      <w:pPr>
        <w:pStyle w:val="Title"/>
        <w:rPr>
          <w:rFonts w:ascii="Arial" w:hAnsi="Arial" w:cs="Arial"/>
        </w:rPr>
      </w:pPr>
      <w:r w:rsidRPr="00191A2E">
        <w:rPr>
          <w:rFonts w:ascii="Arial" w:hAnsi="Arial" w:cs="Arial"/>
        </w:rPr>
        <w:t>Gene Technology Ministers’ Meeting</w:t>
      </w:r>
    </w:p>
    <w:p w14:paraId="3FE157CF" w14:textId="5EFF8478" w:rsidR="00F10984" w:rsidRPr="00191A2E" w:rsidRDefault="00F10984" w:rsidP="00C83CF7">
      <w:pPr>
        <w:pStyle w:val="Subtitle"/>
        <w:rPr>
          <w:rFonts w:ascii="Arial" w:hAnsi="Arial" w:cs="Arial"/>
        </w:rPr>
      </w:pPr>
      <w:r w:rsidRPr="00191A2E">
        <w:rPr>
          <w:rFonts w:ascii="Arial" w:hAnsi="Arial" w:cs="Arial"/>
        </w:rPr>
        <w:t xml:space="preserve">ACTION PLAN 2020 </w:t>
      </w:r>
      <w:r w:rsidR="008D4E19">
        <w:rPr>
          <w:rFonts w:ascii="Arial" w:hAnsi="Arial" w:cs="Arial"/>
        </w:rPr>
        <w:t>–</w:t>
      </w:r>
      <w:r w:rsidRPr="00191A2E">
        <w:rPr>
          <w:rFonts w:ascii="Arial" w:hAnsi="Arial" w:cs="Arial"/>
        </w:rPr>
        <w:t xml:space="preserve"> 2023</w:t>
      </w:r>
    </w:p>
    <w:p w14:paraId="57C93B58" w14:textId="23EC0091" w:rsidR="00F10984" w:rsidRPr="00C83CF7" w:rsidRDefault="00F10984" w:rsidP="00F10984">
      <w:pPr>
        <w:rPr>
          <w:rStyle w:val="Strong"/>
        </w:rPr>
      </w:pPr>
      <w:r w:rsidRPr="00C83CF7">
        <w:rPr>
          <w:rStyle w:val="Strong"/>
        </w:rPr>
        <w:t>UPDATED JUNE 2021</w:t>
      </w:r>
    </w:p>
    <w:p w14:paraId="1B49C9B0" w14:textId="77777777" w:rsidR="00C83CF7" w:rsidRDefault="00C83CF7" w:rsidP="00F920CE">
      <w:r>
        <w:t>In response to the Third Review (the Review) of the National Gene Technology Scheme (the Scheme), and in addition to the ongoing acti</w:t>
      </w:r>
      <w:bookmarkStart w:id="0" w:name="_Hlk79490586"/>
      <w:r>
        <w:t>vit</w:t>
      </w:r>
      <w:bookmarkEnd w:id="0"/>
      <w:r>
        <w:t xml:space="preserve">ies of the Legislative and Governance Forum on Gene Technology (now to be known as the Gene Technology Ministers' Meeting - GTMM*), all Australian Governments - through the GTMM - agreed to pursue an Action Plan which </w:t>
      </w:r>
      <w:proofErr w:type="spellStart"/>
      <w:r>
        <w:t>prioritised</w:t>
      </w:r>
      <w:proofErr w:type="spellEnd"/>
      <w:r>
        <w:t xml:space="preserve"> activities to be undertaken to update the Scheme over the 2018–2023 period. </w:t>
      </w:r>
    </w:p>
    <w:p w14:paraId="78CB236D" w14:textId="2E389DF5" w:rsidR="00C83CF7" w:rsidRDefault="00C83CF7" w:rsidP="00F920CE">
      <w:r>
        <w:t xml:space="preserve">As a result of the 2020 National </w:t>
      </w:r>
      <w:r w:rsidRPr="009D408B">
        <w:t xml:space="preserve">Cabinet Review of COAG Councils and Ministerial Forums </w:t>
      </w:r>
      <w:r>
        <w:t xml:space="preserve">conducted by </w:t>
      </w:r>
      <w:proofErr w:type="spellStart"/>
      <w:r>
        <w:t>Mr</w:t>
      </w:r>
      <w:proofErr w:type="spellEnd"/>
      <w:r>
        <w:t xml:space="preserve"> Peter Conran AM (the Conran Review), </w:t>
      </w:r>
      <w:r w:rsidR="007F11D5">
        <w:t>3</w:t>
      </w:r>
      <w:r>
        <w:t xml:space="preserve"> key priorities were identified for GTMM action in 2021, which are linked to related Review Recommendations. </w:t>
      </w:r>
    </w:p>
    <w:p w14:paraId="241AF92C" w14:textId="77777777" w:rsidR="00C83CF7" w:rsidRDefault="00C83CF7" w:rsidP="00F920CE">
      <w:r>
        <w:t xml:space="preserve">This 2021 Action Plan update groups recommendations with closely linked implementation activities under separate work programs. It also lists those actions that have been completed for each recommendation. In some case components of the recommendations are on-going. Completed tasks have also been identified as part of the document. </w:t>
      </w:r>
    </w:p>
    <w:p w14:paraId="39D5C81A" w14:textId="77777777" w:rsidR="00C83CF7" w:rsidRDefault="00C83CF7" w:rsidP="00C83CF7">
      <w:pPr>
        <w:tabs>
          <w:tab w:val="left" w:pos="4920"/>
        </w:tabs>
      </w:pPr>
      <w:r>
        <w:t>This update includes:</w:t>
      </w:r>
    </w:p>
    <w:p w14:paraId="596A7359" w14:textId="77777777" w:rsidR="00C83CF7" w:rsidRDefault="008357EF" w:rsidP="00C83CF7">
      <w:pPr>
        <w:tabs>
          <w:tab w:val="left" w:pos="4920"/>
        </w:tabs>
      </w:pPr>
      <w:hyperlink w:anchor="KeyPriorities" w:history="1">
        <w:r w:rsidR="00C83CF7">
          <w:rPr>
            <w:rStyle w:val="Hyperlink"/>
          </w:rPr>
          <w:t>Summary of Key Priorities for 2021</w:t>
        </w:r>
      </w:hyperlink>
    </w:p>
    <w:p w14:paraId="63D7F85E" w14:textId="77777777" w:rsidR="00C83CF7" w:rsidRDefault="008357EF" w:rsidP="00C83CF7">
      <w:pPr>
        <w:tabs>
          <w:tab w:val="left" w:pos="4920"/>
        </w:tabs>
      </w:pPr>
      <w:hyperlink w:anchor="Revised" w:history="1">
        <w:r w:rsidR="00C83CF7" w:rsidRPr="00B05EA9">
          <w:rPr>
            <w:rStyle w:val="Hyperlink"/>
          </w:rPr>
          <w:t>Revised Status of Recommendations</w:t>
        </w:r>
      </w:hyperlink>
    </w:p>
    <w:p w14:paraId="6F602296" w14:textId="77777777" w:rsidR="00C83CF7" w:rsidRDefault="008357EF" w:rsidP="00C83CF7">
      <w:pPr>
        <w:tabs>
          <w:tab w:val="left" w:pos="4920"/>
        </w:tabs>
      </w:pPr>
      <w:hyperlink w:anchor="Recommend" w:history="1">
        <w:r w:rsidR="00C83CF7">
          <w:rPr>
            <w:rStyle w:val="Hyperlink"/>
          </w:rPr>
          <w:t>List of Review Recommendations</w:t>
        </w:r>
      </w:hyperlink>
    </w:p>
    <w:p w14:paraId="2FDE757F" w14:textId="3DACD00C" w:rsidR="00F10984" w:rsidRPr="00F10984" w:rsidRDefault="00C83CF7" w:rsidP="00F10984">
      <w:r w:rsidRPr="00C83CF7">
        <w:rPr>
          <w:rStyle w:val="Strong"/>
        </w:rPr>
        <w:t>Please note:</w:t>
      </w:r>
      <w:r w:rsidRPr="00C83CF7">
        <w:t xml:space="preserve"> This Action Plan is a dynamic, working document. It provides a framework for Review implementation through the Gene Technology Standing Committee (GTSC), a group comprising of senior officials from each state, territory, and the Commonwealth.</w:t>
      </w:r>
    </w:p>
    <w:p w14:paraId="029F5F50" w14:textId="3A65F73F" w:rsidR="00023400" w:rsidRPr="00191A2E" w:rsidRDefault="00023400" w:rsidP="008100F0">
      <w:pPr>
        <w:pStyle w:val="Heading1"/>
        <w:keepLines/>
        <w:widowControl/>
        <w:rPr>
          <w:rFonts w:ascii="Arial" w:hAnsi="Arial" w:cs="Arial"/>
          <w:noProof/>
        </w:rPr>
      </w:pPr>
      <w:r w:rsidRPr="00191A2E">
        <w:rPr>
          <w:rFonts w:ascii="Arial" w:hAnsi="Arial" w:cs="Arial"/>
          <w:noProof/>
        </w:rPr>
        <w:lastRenderedPageBreak/>
        <w:t>SUMMA</w:t>
      </w:r>
      <w:bookmarkStart w:id="1" w:name="KeyPriorities"/>
      <w:bookmarkEnd w:id="1"/>
      <w:r w:rsidRPr="00191A2E">
        <w:rPr>
          <w:rFonts w:ascii="Arial" w:hAnsi="Arial" w:cs="Arial"/>
          <w:noProof/>
        </w:rPr>
        <w:t xml:space="preserve">RY OF </w:t>
      </w:r>
      <w:r w:rsidR="00A93674" w:rsidRPr="00191A2E">
        <w:rPr>
          <w:rFonts w:ascii="Arial" w:hAnsi="Arial" w:cs="Arial"/>
          <w:noProof/>
        </w:rPr>
        <w:t>K</w:t>
      </w:r>
      <w:r w:rsidR="00A93674" w:rsidRPr="00191A2E">
        <w:rPr>
          <w:rFonts w:ascii="Arial" w:hAnsi="Arial" w:cs="Arial"/>
        </w:rPr>
        <w:t>EY</w:t>
      </w:r>
      <w:r w:rsidRPr="00191A2E">
        <w:rPr>
          <w:rFonts w:ascii="Arial" w:hAnsi="Arial" w:cs="Arial"/>
          <w:noProof/>
        </w:rPr>
        <w:t xml:space="preserve"> PRIORITIES FOR 2021</w:t>
      </w:r>
    </w:p>
    <w:p w14:paraId="631AB189" w14:textId="5F03C933" w:rsidR="00B96DEC" w:rsidRDefault="00DF58E9" w:rsidP="008100F0">
      <w:pPr>
        <w:keepNext/>
        <w:keepLines/>
        <w:rPr>
          <w:noProof/>
          <w:lang w:val="en-AU" w:eastAsia="en-AU"/>
        </w:rPr>
      </w:pPr>
      <w:r w:rsidRPr="00B05EA9">
        <w:rPr>
          <w:noProof/>
          <w:lang w:val="en-AU" w:eastAsia="en-AU"/>
        </w:rPr>
        <w:t xml:space="preserve">The following diagram provides an outline of the </w:t>
      </w:r>
      <w:r w:rsidR="007F11D5">
        <w:rPr>
          <w:noProof/>
          <w:lang w:val="en-AU" w:eastAsia="en-AU"/>
        </w:rPr>
        <w:t>3</w:t>
      </w:r>
      <w:r w:rsidRPr="00B05EA9">
        <w:rPr>
          <w:noProof/>
          <w:lang w:val="en-AU" w:eastAsia="en-AU"/>
        </w:rPr>
        <w:t xml:space="preserve"> key GTMM </w:t>
      </w:r>
      <w:r w:rsidR="00667E1C">
        <w:rPr>
          <w:noProof/>
          <w:lang w:val="en-AU" w:eastAsia="en-AU"/>
        </w:rPr>
        <w:t>P</w:t>
      </w:r>
      <w:r w:rsidRPr="00B05EA9">
        <w:rPr>
          <w:noProof/>
          <w:lang w:val="en-AU" w:eastAsia="en-AU"/>
        </w:rPr>
        <w:t xml:space="preserve">riorities for 2021, agreed following the </w:t>
      </w:r>
      <w:r w:rsidR="009D408B">
        <w:rPr>
          <w:noProof/>
          <w:lang w:val="en-AU" w:eastAsia="en-AU"/>
        </w:rPr>
        <w:t>National Cabinet Review of COAG Councils and Ministerial Forums conducted by Mr Peter Conran AM (</w:t>
      </w:r>
      <w:r w:rsidR="00A93674">
        <w:rPr>
          <w:noProof/>
          <w:lang w:val="en-AU" w:eastAsia="en-AU"/>
        </w:rPr>
        <w:t>Conran Review</w:t>
      </w:r>
      <w:r w:rsidR="009D408B">
        <w:rPr>
          <w:noProof/>
          <w:lang w:val="en-AU" w:eastAsia="en-AU"/>
        </w:rPr>
        <w:t>)</w:t>
      </w:r>
      <w:r w:rsidRPr="00B05EA9">
        <w:rPr>
          <w:noProof/>
          <w:lang w:val="en-AU" w:eastAsia="en-AU"/>
        </w:rPr>
        <w:t xml:space="preserve">. </w:t>
      </w:r>
      <w:r w:rsidR="009D408B">
        <w:rPr>
          <w:noProof/>
          <w:lang w:val="en-AU" w:eastAsia="en-AU"/>
        </w:rPr>
        <w:t>Review i</w:t>
      </w:r>
      <w:r w:rsidR="00024301">
        <w:rPr>
          <w:noProof/>
          <w:lang w:val="en-AU" w:eastAsia="en-AU"/>
        </w:rPr>
        <w:t xml:space="preserve">mplementation work programs (refer to page 3) are then idenfitied under each priority, in </w:t>
      </w:r>
      <w:r w:rsidRPr="00B05EA9">
        <w:rPr>
          <w:noProof/>
          <w:lang w:val="en-AU" w:eastAsia="en-AU"/>
        </w:rPr>
        <w:t xml:space="preserve">turn </w:t>
      </w:r>
      <w:r w:rsidR="00024301">
        <w:rPr>
          <w:noProof/>
          <w:lang w:val="en-AU" w:eastAsia="en-AU"/>
        </w:rPr>
        <w:t>outlinin</w:t>
      </w:r>
      <w:r w:rsidR="00667E1C">
        <w:rPr>
          <w:noProof/>
          <w:lang w:val="en-AU" w:eastAsia="en-AU"/>
        </w:rPr>
        <w:t>g</w:t>
      </w:r>
      <w:r w:rsidR="00024301">
        <w:rPr>
          <w:noProof/>
          <w:lang w:val="en-AU" w:eastAsia="en-AU"/>
        </w:rPr>
        <w:t xml:space="preserve"> the specific Review recommendations (or elements thereof) th</w:t>
      </w:r>
      <w:r w:rsidR="00667E1C">
        <w:rPr>
          <w:noProof/>
          <w:lang w:val="en-AU" w:eastAsia="en-AU"/>
        </w:rPr>
        <w:t>a</w:t>
      </w:r>
      <w:r w:rsidR="00024301">
        <w:rPr>
          <w:noProof/>
          <w:lang w:val="en-AU" w:eastAsia="en-AU"/>
        </w:rPr>
        <w:t>t relate to th</w:t>
      </w:r>
      <w:r w:rsidR="009D408B">
        <w:rPr>
          <w:noProof/>
          <w:lang w:val="en-AU" w:eastAsia="en-AU"/>
        </w:rPr>
        <w:t xml:space="preserve">at </w:t>
      </w:r>
      <w:r w:rsidR="00024301">
        <w:rPr>
          <w:noProof/>
          <w:lang w:val="en-AU" w:eastAsia="en-AU"/>
        </w:rPr>
        <w:t>Priority</w:t>
      </w:r>
      <w:r w:rsidRPr="00B05EA9">
        <w:rPr>
          <w:noProof/>
          <w:lang w:val="en-AU" w:eastAsia="en-AU"/>
        </w:rPr>
        <w:t>.</w:t>
      </w:r>
    </w:p>
    <w:p w14:paraId="77E16FB1" w14:textId="77777777" w:rsidR="00F920CE" w:rsidRDefault="004D7EEA" w:rsidP="00B05896">
      <w:pPr>
        <w:spacing w:after="0" w:line="120" w:lineRule="atLeast"/>
        <w:jc w:val="center"/>
        <w:sectPr w:rsidR="00F920CE" w:rsidSect="005E5E34">
          <w:footerReference w:type="default" r:id="rId12"/>
          <w:type w:val="continuous"/>
          <w:pgSz w:w="11906" w:h="16838" w:code="9"/>
          <w:pgMar w:top="425" w:right="1134" w:bottom="720" w:left="1134" w:header="709" w:footer="709" w:gutter="0"/>
          <w:cols w:space="708"/>
          <w:docGrid w:linePitch="360"/>
        </w:sectPr>
      </w:pPr>
      <w:r>
        <w:rPr>
          <w:noProof/>
        </w:rPr>
        <w:drawing>
          <wp:inline distT="0" distB="0" distL="0" distR="0" wp14:anchorId="79EEECA2" wp14:editId="19C89941">
            <wp:extent cx="6663723" cy="5479460"/>
            <wp:effectExtent l="0" t="0" r="0" b="6985"/>
            <wp:docPr id="3" name="Picture 3" descr="Diagram of the three key GTMM priorities. The review recommendations are aligned with one of the three prior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of the three key GTMM priorities. The review recommendations are aligned with one of the three prioritie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88683" cy="5499984"/>
                    </a:xfrm>
                    <a:prstGeom prst="rect">
                      <a:avLst/>
                    </a:prstGeom>
                    <a:noFill/>
                  </pic:spPr>
                </pic:pic>
              </a:graphicData>
            </a:graphic>
          </wp:inline>
        </w:drawing>
      </w:r>
    </w:p>
    <w:p w14:paraId="2832007C" w14:textId="77777777" w:rsidR="00C70600" w:rsidRPr="00191A2E" w:rsidRDefault="00C70600" w:rsidP="008100F0">
      <w:pPr>
        <w:pStyle w:val="Heading1"/>
        <w:keepLines/>
        <w:widowControl/>
        <w:rPr>
          <w:rFonts w:ascii="Arial" w:hAnsi="Arial" w:cs="Arial"/>
        </w:rPr>
      </w:pPr>
      <w:r w:rsidRPr="00191A2E">
        <w:rPr>
          <w:rFonts w:ascii="Arial" w:hAnsi="Arial" w:cs="Arial"/>
        </w:rPr>
        <w:lastRenderedPageBreak/>
        <w:t>REVISED STATUS REPORTING</w:t>
      </w:r>
    </w:p>
    <w:p w14:paraId="0F98AFED" w14:textId="21496B84" w:rsidR="00C70600" w:rsidRPr="00C70600" w:rsidRDefault="00C70600" w:rsidP="008100F0">
      <w:pPr>
        <w:keepNext/>
        <w:keepLines/>
      </w:pPr>
      <w:r>
        <w:t>Recommendations from the Third Review of the National Gene Technology Scheme</w:t>
      </w:r>
    </w:p>
    <w:tbl>
      <w:tblPr>
        <w:tblStyle w:val="TableGrid"/>
        <w:tblW w:w="0" w:type="auto"/>
        <w:tblLook w:val="04A0" w:firstRow="1" w:lastRow="0" w:firstColumn="1" w:lastColumn="0" w:noHBand="0" w:noVBand="1"/>
        <w:tblCaption w:val="Table of revised status recommendations"/>
        <w:tblDescription w:val="This table contains the revised status recommendations of the Third Review of the National Gene Technology Scheme "/>
      </w:tblPr>
      <w:tblGrid>
        <w:gridCol w:w="2955"/>
        <w:gridCol w:w="4952"/>
        <w:gridCol w:w="2844"/>
      </w:tblGrid>
      <w:tr w:rsidR="00513BC6" w:rsidRPr="00833544" w14:paraId="5276790C" w14:textId="77777777" w:rsidTr="003F6986">
        <w:trPr>
          <w:cnfStyle w:val="100000000000" w:firstRow="1" w:lastRow="0" w:firstColumn="0" w:lastColumn="0" w:oddVBand="0" w:evenVBand="0" w:oddHBand="0" w:evenHBand="0" w:firstRowFirstColumn="0" w:firstRowLastColumn="0" w:lastRowFirstColumn="0" w:lastRowLastColumn="0"/>
          <w:trHeight w:val="440"/>
          <w:tblHead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0D4CFE4" w14:textId="77777777" w:rsidR="00513BC6" w:rsidRPr="008100F0" w:rsidRDefault="00513BC6" w:rsidP="008100F0">
            <w:pPr>
              <w:keepNext/>
              <w:keepLines/>
              <w:spacing w:after="0"/>
              <w:rPr>
                <w:b w:val="0"/>
                <w:color w:val="FFFFFF" w:themeColor="background1"/>
              </w:rPr>
            </w:pPr>
            <w:r w:rsidRPr="008100F0">
              <w:rPr>
                <w:b w:val="0"/>
                <w:color w:val="FFFFFF" w:themeColor="background1"/>
              </w:rPr>
              <w:t>WORK PROGRAM</w:t>
            </w:r>
          </w:p>
        </w:tc>
        <w:tc>
          <w:tcPr>
            <w:tcW w:w="0" w:type="auto"/>
            <w:noWrap/>
            <w:hideMark/>
          </w:tcPr>
          <w:p w14:paraId="4F3825E9" w14:textId="77777777" w:rsidR="00513BC6" w:rsidRPr="008100F0" w:rsidRDefault="00513BC6" w:rsidP="008100F0">
            <w:pPr>
              <w:keepNext/>
              <w:keepLines/>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8100F0">
              <w:rPr>
                <w:color w:val="FFFFFF" w:themeColor="background1"/>
              </w:rPr>
              <w:t>THIRD REVIEW'S RECOMMENDATIONS</w:t>
            </w:r>
          </w:p>
        </w:tc>
        <w:tc>
          <w:tcPr>
            <w:tcW w:w="0" w:type="auto"/>
            <w:noWrap/>
            <w:hideMark/>
          </w:tcPr>
          <w:p w14:paraId="38132B72" w14:textId="77777777" w:rsidR="00513BC6" w:rsidRPr="008100F0" w:rsidRDefault="00513BC6" w:rsidP="008100F0">
            <w:pPr>
              <w:keepNext/>
              <w:keepLines/>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8100F0">
              <w:rPr>
                <w:color w:val="FFFFFF" w:themeColor="background1"/>
              </w:rPr>
              <w:t>CURRENT STATUS</w:t>
            </w:r>
          </w:p>
        </w:tc>
      </w:tr>
      <w:tr w:rsidR="00513BC6" w:rsidRPr="00833544" w14:paraId="30D050E2" w14:textId="77777777" w:rsidTr="003F6986">
        <w:trPr>
          <w:trHeight w:val="1439"/>
        </w:trPr>
        <w:tc>
          <w:tcPr>
            <w:cnfStyle w:val="001000000000" w:firstRow="0" w:lastRow="0" w:firstColumn="1" w:lastColumn="0" w:oddVBand="0" w:evenVBand="0" w:oddHBand="0" w:evenHBand="0" w:firstRowFirstColumn="0" w:firstRowLastColumn="0" w:lastRowFirstColumn="0" w:lastRowLastColumn="0"/>
            <w:tcW w:w="0" w:type="auto"/>
            <w:noWrap/>
            <w:hideMark/>
          </w:tcPr>
          <w:p w14:paraId="260EA9E3" w14:textId="77777777" w:rsidR="00513BC6" w:rsidRPr="008100F0" w:rsidRDefault="00513BC6" w:rsidP="008100F0">
            <w:pPr>
              <w:keepNext/>
              <w:keepLines/>
              <w:spacing w:after="0"/>
              <w:rPr>
                <w:rStyle w:val="Strong"/>
                <w:bCs w:val="0"/>
              </w:rPr>
            </w:pPr>
            <w:r w:rsidRPr="008100F0">
              <w:rPr>
                <w:bCs/>
              </w:rPr>
              <w:t>Maintaining the Scheme</w:t>
            </w:r>
          </w:p>
        </w:tc>
        <w:tc>
          <w:tcPr>
            <w:tcW w:w="0" w:type="auto"/>
            <w:hideMark/>
          </w:tcPr>
          <w:p w14:paraId="1B982BDB" w14:textId="77777777" w:rsidR="00513BC6" w:rsidRPr="00C83CF7" w:rsidRDefault="00513BC6" w:rsidP="008100F0">
            <w:pPr>
              <w:keepNext/>
              <w:keepLines/>
              <w:cnfStyle w:val="000000000000" w:firstRow="0" w:lastRow="0" w:firstColumn="0" w:lastColumn="0" w:oddVBand="0" w:evenVBand="0" w:oddHBand="0" w:evenHBand="0" w:firstRowFirstColumn="0" w:firstRowLastColumn="0" w:lastRowFirstColumn="0" w:lastRowLastColumn="0"/>
              <w:rPr>
                <w:rStyle w:val="Strong"/>
              </w:rPr>
            </w:pPr>
            <w:r w:rsidRPr="00C83CF7">
              <w:rPr>
                <w:rStyle w:val="Strong"/>
              </w:rPr>
              <w:t>Recommendation 2, 3, 8, 12 &amp; 19</w:t>
            </w:r>
          </w:p>
          <w:p w14:paraId="37D7217D" w14:textId="77777777" w:rsidR="00513BC6" w:rsidRPr="00513BC6" w:rsidRDefault="00513BC6" w:rsidP="008100F0">
            <w:pPr>
              <w:keepNext/>
              <w:keepLines/>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 xml:space="preserve">These recommendations relate to issues such as maintaining the object of the Gene Technology Act, 2000 and the intergovernmental Gene Technology Agreement. Also covered are maintaining a </w:t>
            </w:r>
            <w:proofErr w:type="gramStart"/>
            <w:r w:rsidRPr="00513BC6">
              <w:rPr>
                <w:lang w:eastAsia="en-AU"/>
              </w:rPr>
              <w:t>process based</w:t>
            </w:r>
            <w:proofErr w:type="gramEnd"/>
            <w:r w:rsidRPr="00513BC6">
              <w:rPr>
                <w:lang w:eastAsia="en-AU"/>
              </w:rPr>
              <w:t xml:space="preserve"> trigger for the entry point for the Scheme at present, as well as work to ensure the Scheme’s monitoring and enforcement activities remain adequate. Consideration of benefits (e.g. possible economic, environmental and health benefits) should also not be introduced as an element of regulatory decision making at this time.</w:t>
            </w:r>
          </w:p>
        </w:tc>
        <w:tc>
          <w:tcPr>
            <w:tcW w:w="0" w:type="auto"/>
            <w:hideMark/>
          </w:tcPr>
          <w:p w14:paraId="532C8356" w14:textId="77777777" w:rsidR="00513BC6" w:rsidRPr="00513BC6" w:rsidRDefault="00513BC6" w:rsidP="008100F0">
            <w:pPr>
              <w:keepNext/>
              <w:keepLines/>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Completed – all necessary initiating work</w:t>
            </w:r>
          </w:p>
          <w:p w14:paraId="6DB76CA8" w14:textId="77777777" w:rsidR="00513BC6" w:rsidRPr="00513BC6" w:rsidRDefault="00513BC6" w:rsidP="008100F0">
            <w:pPr>
              <w:keepNext/>
              <w:keepLines/>
              <w:cnfStyle w:val="000000000000" w:firstRow="0" w:lastRow="0" w:firstColumn="0" w:lastColumn="0" w:oddVBand="0" w:evenVBand="0" w:oddHBand="0" w:evenHBand="0" w:firstRowFirstColumn="0" w:firstRowLastColumn="0" w:lastRowFirstColumn="0" w:lastRowLastColumn="0"/>
              <w:rPr>
                <w:lang w:eastAsia="en-AU"/>
              </w:rPr>
            </w:pPr>
            <w:r w:rsidRPr="00241E34">
              <w:rPr>
                <w:rStyle w:val="Strong"/>
              </w:rPr>
              <w:t>NB:</w:t>
            </w:r>
            <w:r w:rsidRPr="00513BC6">
              <w:rPr>
                <w:lang w:eastAsia="en-AU"/>
              </w:rPr>
              <w:t xml:space="preserve"> Implementation of these recommendations involves ongoing business as usual (BAU) activities, including continued monitoring of the needs of the Scheme, and governance oversight of matters impacting on the Scheme</w:t>
            </w:r>
          </w:p>
        </w:tc>
      </w:tr>
      <w:tr w:rsidR="00513BC6" w:rsidRPr="00833544" w14:paraId="10C54BA2" w14:textId="77777777" w:rsidTr="003F6986">
        <w:trPr>
          <w:trHeight w:val="840"/>
        </w:trPr>
        <w:tc>
          <w:tcPr>
            <w:cnfStyle w:val="001000000000" w:firstRow="0" w:lastRow="0" w:firstColumn="1" w:lastColumn="0" w:oddVBand="0" w:evenVBand="0" w:oddHBand="0" w:evenHBand="0" w:firstRowFirstColumn="0" w:firstRowLastColumn="0" w:lastRowFirstColumn="0" w:lastRowLastColumn="0"/>
            <w:tcW w:w="0" w:type="auto"/>
            <w:noWrap/>
            <w:hideMark/>
          </w:tcPr>
          <w:p w14:paraId="42BBBEA6" w14:textId="77777777" w:rsidR="00513BC6" w:rsidRPr="00513BC6" w:rsidRDefault="00513BC6" w:rsidP="00307790">
            <w:pPr>
              <w:spacing w:after="0"/>
              <w:rPr>
                <w:rFonts w:asciiTheme="minorHAnsi" w:eastAsia="Times New Roman" w:hAnsiTheme="minorHAnsi" w:cstheme="minorHAnsi"/>
                <w:b w:val="0"/>
                <w:bCs/>
                <w:lang w:eastAsia="en-AU"/>
              </w:rPr>
            </w:pPr>
            <w:r w:rsidRPr="003D0A75">
              <w:rPr>
                <w:bCs/>
              </w:rPr>
              <w:t>Governance</w:t>
            </w:r>
          </w:p>
        </w:tc>
        <w:tc>
          <w:tcPr>
            <w:tcW w:w="0" w:type="auto"/>
            <w:hideMark/>
          </w:tcPr>
          <w:p w14:paraId="378DCA43" w14:textId="77777777" w:rsidR="00513BC6" w:rsidRPr="00C83CF7" w:rsidRDefault="00513BC6" w:rsidP="00C83CF7">
            <w:pPr>
              <w:cnfStyle w:val="000000000000" w:firstRow="0" w:lastRow="0" w:firstColumn="0" w:lastColumn="0" w:oddVBand="0" w:evenVBand="0" w:oddHBand="0" w:evenHBand="0" w:firstRowFirstColumn="0" w:firstRowLastColumn="0" w:lastRowFirstColumn="0" w:lastRowLastColumn="0"/>
              <w:rPr>
                <w:rStyle w:val="Strong"/>
              </w:rPr>
            </w:pPr>
            <w:r w:rsidRPr="00C83CF7">
              <w:rPr>
                <w:rStyle w:val="Strong"/>
              </w:rPr>
              <w:t xml:space="preserve">Recommendation 14 &amp; 16 </w:t>
            </w:r>
          </w:p>
          <w:p w14:paraId="55952BA7"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These recommendations include reaffirming and clarifying governance arrangements to increase the agility of the Scheme and maintaining mechanisms to uphold the current levels of credibility, integrity and legitimacy.</w:t>
            </w:r>
          </w:p>
        </w:tc>
        <w:tc>
          <w:tcPr>
            <w:tcW w:w="0" w:type="auto"/>
            <w:hideMark/>
          </w:tcPr>
          <w:p w14:paraId="56B8922A"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Partially completed</w:t>
            </w:r>
          </w:p>
          <w:p w14:paraId="01CC2FB3" w14:textId="25B4E86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 xml:space="preserve">Further work required to address </w:t>
            </w:r>
            <w:r w:rsidR="00B05896">
              <w:rPr>
                <w:lang w:eastAsia="en-AU"/>
              </w:rPr>
              <w:t xml:space="preserve">the </w:t>
            </w:r>
            <w:r w:rsidRPr="00513BC6">
              <w:rPr>
                <w:lang w:eastAsia="en-AU"/>
              </w:rPr>
              <w:t xml:space="preserve">Conran Review </w:t>
            </w:r>
          </w:p>
          <w:p w14:paraId="114EA2B9"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241E34">
              <w:rPr>
                <w:rStyle w:val="Strong"/>
              </w:rPr>
              <w:t>NB:</w:t>
            </w:r>
            <w:r w:rsidRPr="00513BC6">
              <w:rPr>
                <w:lang w:eastAsia="en-AU"/>
              </w:rPr>
              <w:t xml:space="preserve"> Some elements involve ongoing BAU activities</w:t>
            </w:r>
          </w:p>
        </w:tc>
      </w:tr>
      <w:tr w:rsidR="00513BC6" w:rsidRPr="00833544" w14:paraId="5A048649" w14:textId="77777777" w:rsidTr="003F6986">
        <w:trPr>
          <w:trHeight w:val="696"/>
        </w:trPr>
        <w:tc>
          <w:tcPr>
            <w:cnfStyle w:val="001000000000" w:firstRow="0" w:lastRow="0" w:firstColumn="1" w:lastColumn="0" w:oddVBand="0" w:evenVBand="0" w:oddHBand="0" w:evenHBand="0" w:firstRowFirstColumn="0" w:firstRowLastColumn="0" w:lastRowFirstColumn="0" w:lastRowLastColumn="0"/>
            <w:tcW w:w="0" w:type="auto"/>
            <w:noWrap/>
            <w:hideMark/>
          </w:tcPr>
          <w:p w14:paraId="7BF347B6" w14:textId="77777777" w:rsidR="00513BC6" w:rsidRPr="00513BC6" w:rsidRDefault="00513BC6" w:rsidP="00307790">
            <w:pPr>
              <w:spacing w:after="0"/>
              <w:rPr>
                <w:rFonts w:asciiTheme="minorHAnsi" w:eastAsia="Times New Roman" w:hAnsiTheme="minorHAnsi" w:cstheme="minorHAnsi"/>
                <w:b w:val="0"/>
                <w:bCs/>
                <w:lang w:eastAsia="en-AU"/>
              </w:rPr>
            </w:pPr>
            <w:r w:rsidRPr="003D0A75">
              <w:rPr>
                <w:bCs/>
              </w:rPr>
              <w:t>Watching Briefs</w:t>
            </w:r>
          </w:p>
        </w:tc>
        <w:tc>
          <w:tcPr>
            <w:tcW w:w="0" w:type="auto"/>
            <w:hideMark/>
          </w:tcPr>
          <w:p w14:paraId="3F13045B" w14:textId="77777777" w:rsidR="00513BC6" w:rsidRPr="00C83CF7" w:rsidRDefault="00513BC6" w:rsidP="00C83CF7">
            <w:pPr>
              <w:cnfStyle w:val="000000000000" w:firstRow="0" w:lastRow="0" w:firstColumn="0" w:lastColumn="0" w:oddVBand="0" w:evenVBand="0" w:oddHBand="0" w:evenHBand="0" w:firstRowFirstColumn="0" w:firstRowLastColumn="0" w:lastRowFirstColumn="0" w:lastRowLastColumn="0"/>
              <w:rPr>
                <w:rStyle w:val="Strong"/>
              </w:rPr>
            </w:pPr>
            <w:r w:rsidRPr="00C83CF7">
              <w:rPr>
                <w:rStyle w:val="Strong"/>
              </w:rPr>
              <w:t>Recommendation 5(b) &amp; 26</w:t>
            </w:r>
          </w:p>
          <w:p w14:paraId="579AFEFC"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These recommendations involve ensuring that any potential new risks associated with gene technology are appropriately identified and managed.</w:t>
            </w:r>
          </w:p>
        </w:tc>
        <w:tc>
          <w:tcPr>
            <w:tcW w:w="0" w:type="auto"/>
            <w:hideMark/>
          </w:tcPr>
          <w:p w14:paraId="7034E0E9"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Completed – all necessary initiating work</w:t>
            </w:r>
          </w:p>
          <w:p w14:paraId="37A542E8"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241E34">
              <w:rPr>
                <w:rStyle w:val="Strong"/>
              </w:rPr>
              <w:t>NB:</w:t>
            </w:r>
            <w:r w:rsidRPr="00513BC6">
              <w:rPr>
                <w:lang w:eastAsia="en-AU"/>
              </w:rPr>
              <w:t xml:space="preserve"> Some elements involve ongoing monitoring and reporting activities</w:t>
            </w:r>
          </w:p>
        </w:tc>
      </w:tr>
      <w:tr w:rsidR="00513BC6" w:rsidRPr="00833544" w14:paraId="72450879" w14:textId="77777777" w:rsidTr="003F6986">
        <w:trPr>
          <w:trHeight w:val="692"/>
        </w:trPr>
        <w:tc>
          <w:tcPr>
            <w:cnfStyle w:val="001000000000" w:firstRow="0" w:lastRow="0" w:firstColumn="1" w:lastColumn="0" w:oddVBand="0" w:evenVBand="0" w:oddHBand="0" w:evenHBand="0" w:firstRowFirstColumn="0" w:firstRowLastColumn="0" w:lastRowFirstColumn="0" w:lastRowLastColumn="0"/>
            <w:tcW w:w="0" w:type="auto"/>
            <w:noWrap/>
            <w:hideMark/>
          </w:tcPr>
          <w:p w14:paraId="7AA08DB6" w14:textId="77777777" w:rsidR="00513BC6" w:rsidRPr="00513BC6" w:rsidRDefault="00513BC6" w:rsidP="00307790">
            <w:pPr>
              <w:spacing w:after="0"/>
              <w:rPr>
                <w:rFonts w:asciiTheme="minorHAnsi" w:eastAsia="Times New Roman" w:hAnsiTheme="minorHAnsi" w:cstheme="minorHAnsi"/>
                <w:b w:val="0"/>
                <w:bCs/>
                <w:lang w:eastAsia="en-AU"/>
              </w:rPr>
            </w:pPr>
            <w:r w:rsidRPr="003D0A75">
              <w:rPr>
                <w:bCs/>
              </w:rPr>
              <w:t>International Engagement</w:t>
            </w:r>
          </w:p>
        </w:tc>
        <w:tc>
          <w:tcPr>
            <w:tcW w:w="0" w:type="auto"/>
            <w:hideMark/>
          </w:tcPr>
          <w:p w14:paraId="7C696E3C" w14:textId="77777777" w:rsidR="00513BC6" w:rsidRPr="00C83CF7" w:rsidRDefault="00513BC6" w:rsidP="00C83CF7">
            <w:pPr>
              <w:cnfStyle w:val="000000000000" w:firstRow="0" w:lastRow="0" w:firstColumn="0" w:lastColumn="0" w:oddVBand="0" w:evenVBand="0" w:oddHBand="0" w:evenHBand="0" w:firstRowFirstColumn="0" w:firstRowLastColumn="0" w:lastRowFirstColumn="0" w:lastRowLastColumn="0"/>
              <w:rPr>
                <w:rStyle w:val="Strong"/>
              </w:rPr>
            </w:pPr>
            <w:r w:rsidRPr="00C83CF7">
              <w:rPr>
                <w:rStyle w:val="Strong"/>
              </w:rPr>
              <w:t>Recommendation 15</w:t>
            </w:r>
          </w:p>
          <w:p w14:paraId="73B6DC05"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This recommendation involves the Gene Technology Regulator continuing to engage with relevant stakeholders (both national and international) to ensure that any relevant international obligations are met</w:t>
            </w:r>
          </w:p>
        </w:tc>
        <w:tc>
          <w:tcPr>
            <w:tcW w:w="0" w:type="auto"/>
            <w:hideMark/>
          </w:tcPr>
          <w:p w14:paraId="49239F21"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Completed – all necessary initiating work</w:t>
            </w:r>
          </w:p>
          <w:p w14:paraId="769CA3CE"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241E34">
              <w:rPr>
                <w:rStyle w:val="Strong"/>
              </w:rPr>
              <w:t>NB:</w:t>
            </w:r>
            <w:r w:rsidRPr="00513BC6">
              <w:rPr>
                <w:lang w:eastAsia="en-AU"/>
              </w:rPr>
              <w:t xml:space="preserve"> This recommendation involves ongoing BAU activities</w:t>
            </w:r>
          </w:p>
        </w:tc>
      </w:tr>
      <w:tr w:rsidR="00513BC6" w:rsidRPr="00833544" w14:paraId="736DD072" w14:textId="77777777" w:rsidTr="003F6986">
        <w:trPr>
          <w:trHeight w:val="985"/>
        </w:trPr>
        <w:tc>
          <w:tcPr>
            <w:cnfStyle w:val="001000000000" w:firstRow="0" w:lastRow="0" w:firstColumn="1" w:lastColumn="0" w:oddVBand="0" w:evenVBand="0" w:oddHBand="0" w:evenHBand="0" w:firstRowFirstColumn="0" w:firstRowLastColumn="0" w:lastRowFirstColumn="0" w:lastRowLastColumn="0"/>
            <w:tcW w:w="0" w:type="auto"/>
            <w:noWrap/>
            <w:hideMark/>
          </w:tcPr>
          <w:p w14:paraId="5D6306DC" w14:textId="77777777" w:rsidR="00513BC6" w:rsidRPr="00513BC6" w:rsidRDefault="00513BC6" w:rsidP="00307790">
            <w:pPr>
              <w:spacing w:after="0"/>
              <w:rPr>
                <w:rFonts w:asciiTheme="minorHAnsi" w:eastAsia="Times New Roman" w:hAnsiTheme="minorHAnsi" w:cstheme="minorHAnsi"/>
                <w:b w:val="0"/>
                <w:bCs/>
                <w:lang w:eastAsia="en-AU"/>
              </w:rPr>
            </w:pPr>
            <w:r w:rsidRPr="003D0A75">
              <w:rPr>
                <w:bCs/>
              </w:rPr>
              <w:t>National Consistency</w:t>
            </w:r>
          </w:p>
        </w:tc>
        <w:tc>
          <w:tcPr>
            <w:tcW w:w="0" w:type="auto"/>
            <w:hideMark/>
          </w:tcPr>
          <w:p w14:paraId="3B0B1E55" w14:textId="77777777" w:rsidR="00513BC6" w:rsidRPr="00C83CF7" w:rsidRDefault="00513BC6" w:rsidP="00C83CF7">
            <w:pPr>
              <w:cnfStyle w:val="000000000000" w:firstRow="0" w:lastRow="0" w:firstColumn="0" w:lastColumn="0" w:oddVBand="0" w:evenVBand="0" w:oddHBand="0" w:evenHBand="0" w:firstRowFirstColumn="0" w:firstRowLastColumn="0" w:lastRowFirstColumn="0" w:lastRowLastColumn="0"/>
              <w:rPr>
                <w:rStyle w:val="Strong"/>
              </w:rPr>
            </w:pPr>
            <w:r w:rsidRPr="00C83CF7">
              <w:rPr>
                <w:rStyle w:val="Strong"/>
              </w:rPr>
              <w:t>Recommendation 17 &amp; 18</w:t>
            </w:r>
          </w:p>
          <w:p w14:paraId="349778BF"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 xml:space="preserve">Responsibility for implementing these recommendations fall with states and territories and involve activities associated with maintaining the integrity of the Scheme and ongoing consideration of </w:t>
            </w:r>
            <w:proofErr w:type="gramStart"/>
            <w:r w:rsidRPr="00513BC6">
              <w:rPr>
                <w:lang w:eastAsia="en-AU"/>
              </w:rPr>
              <w:t>state based</w:t>
            </w:r>
            <w:proofErr w:type="gramEnd"/>
            <w:r w:rsidRPr="00513BC6">
              <w:rPr>
                <w:lang w:eastAsia="en-AU"/>
              </w:rPr>
              <w:t xml:space="preserve"> moratoria.</w:t>
            </w:r>
          </w:p>
        </w:tc>
        <w:tc>
          <w:tcPr>
            <w:tcW w:w="0" w:type="auto"/>
            <w:hideMark/>
          </w:tcPr>
          <w:p w14:paraId="3200175F"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Completed – all necessary initiating work</w:t>
            </w:r>
          </w:p>
          <w:p w14:paraId="488D6523"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241E34">
              <w:rPr>
                <w:rStyle w:val="Strong"/>
              </w:rPr>
              <w:t>NB:</w:t>
            </w:r>
            <w:r w:rsidRPr="00513BC6">
              <w:rPr>
                <w:lang w:eastAsia="en-AU"/>
              </w:rPr>
              <w:t xml:space="preserve"> This recommendation involves ongoing work, as required, to minimise the impact of different jurisdictional approaches on the integrity of the Scheme</w:t>
            </w:r>
          </w:p>
        </w:tc>
      </w:tr>
      <w:tr w:rsidR="00513BC6" w:rsidRPr="00833544" w14:paraId="4CCBD40F" w14:textId="77777777" w:rsidTr="003F6986">
        <w:trPr>
          <w:trHeight w:val="1269"/>
        </w:trPr>
        <w:tc>
          <w:tcPr>
            <w:cnfStyle w:val="001000000000" w:firstRow="0" w:lastRow="0" w:firstColumn="1" w:lastColumn="0" w:oddVBand="0" w:evenVBand="0" w:oddHBand="0" w:evenHBand="0" w:firstRowFirstColumn="0" w:firstRowLastColumn="0" w:lastRowFirstColumn="0" w:lastRowLastColumn="0"/>
            <w:tcW w:w="0" w:type="auto"/>
            <w:noWrap/>
            <w:hideMark/>
          </w:tcPr>
          <w:p w14:paraId="56E2925C" w14:textId="77777777" w:rsidR="00513BC6" w:rsidRPr="00513BC6" w:rsidRDefault="00513BC6" w:rsidP="00307790">
            <w:pPr>
              <w:spacing w:after="0"/>
              <w:rPr>
                <w:rFonts w:asciiTheme="minorHAnsi" w:eastAsia="Times New Roman" w:hAnsiTheme="minorHAnsi" w:cstheme="minorHAnsi"/>
                <w:b w:val="0"/>
                <w:bCs/>
                <w:lang w:eastAsia="en-AU"/>
              </w:rPr>
            </w:pPr>
            <w:r w:rsidRPr="003D0A75">
              <w:rPr>
                <w:bCs/>
              </w:rPr>
              <w:lastRenderedPageBreak/>
              <w:t>Communications</w:t>
            </w:r>
          </w:p>
        </w:tc>
        <w:tc>
          <w:tcPr>
            <w:tcW w:w="0" w:type="auto"/>
            <w:hideMark/>
          </w:tcPr>
          <w:p w14:paraId="4D15B175" w14:textId="77777777" w:rsidR="00513BC6" w:rsidRPr="00C83CF7" w:rsidRDefault="00513BC6" w:rsidP="00C83CF7">
            <w:pPr>
              <w:cnfStyle w:val="000000000000" w:firstRow="0" w:lastRow="0" w:firstColumn="0" w:lastColumn="0" w:oddVBand="0" w:evenVBand="0" w:oddHBand="0" w:evenHBand="0" w:firstRowFirstColumn="0" w:firstRowLastColumn="0" w:lastRowFirstColumn="0" w:lastRowLastColumn="0"/>
              <w:rPr>
                <w:rStyle w:val="Strong"/>
              </w:rPr>
            </w:pPr>
            <w:r w:rsidRPr="00C83CF7">
              <w:rPr>
                <w:rStyle w:val="Strong"/>
              </w:rPr>
              <w:t>Recommendation 23, 24, 25 &amp; 27</w:t>
            </w:r>
          </w:p>
          <w:p w14:paraId="5445ADC5" w14:textId="28448126"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These recommendations relate to activities aimed at ensuring that all stakeholder</w:t>
            </w:r>
            <w:r w:rsidR="00B05896">
              <w:rPr>
                <w:lang w:eastAsia="en-AU"/>
              </w:rPr>
              <w:t>s</w:t>
            </w:r>
            <w:r w:rsidRPr="00513BC6">
              <w:rPr>
                <w:lang w:eastAsia="en-AU"/>
              </w:rPr>
              <w:t xml:space="preserve"> are kept informed about matters relating to gene technology, to aid public understanding and confidence in the Scheme.</w:t>
            </w:r>
          </w:p>
        </w:tc>
        <w:tc>
          <w:tcPr>
            <w:tcW w:w="0" w:type="auto"/>
            <w:hideMark/>
          </w:tcPr>
          <w:p w14:paraId="1028375C"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 xml:space="preserve">Partially completed </w:t>
            </w:r>
          </w:p>
          <w:p w14:paraId="365572D3" w14:textId="77777777" w:rsidR="00241E34"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Further work required in 2021 to aid public understanding and confidence in the Scheme</w:t>
            </w:r>
          </w:p>
          <w:p w14:paraId="71E08143" w14:textId="0722C9D8"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241E34">
              <w:rPr>
                <w:rStyle w:val="Strong"/>
              </w:rPr>
              <w:t>NB:</w:t>
            </w:r>
            <w:r w:rsidRPr="00513BC6">
              <w:rPr>
                <w:lang w:eastAsia="en-AU"/>
              </w:rPr>
              <w:t xml:space="preserve"> These recommendations involve ongoing monitoring and reporting activities</w:t>
            </w:r>
          </w:p>
        </w:tc>
      </w:tr>
      <w:tr w:rsidR="00513BC6" w:rsidRPr="00833544" w14:paraId="144B9ABB" w14:textId="77777777" w:rsidTr="003F6986">
        <w:trPr>
          <w:trHeight w:val="1698"/>
        </w:trPr>
        <w:tc>
          <w:tcPr>
            <w:cnfStyle w:val="001000000000" w:firstRow="0" w:lastRow="0" w:firstColumn="1" w:lastColumn="0" w:oddVBand="0" w:evenVBand="0" w:oddHBand="0" w:evenHBand="0" w:firstRowFirstColumn="0" w:firstRowLastColumn="0" w:lastRowFirstColumn="0" w:lastRowLastColumn="0"/>
            <w:tcW w:w="0" w:type="auto"/>
            <w:noWrap/>
            <w:hideMark/>
          </w:tcPr>
          <w:p w14:paraId="429332DE" w14:textId="77777777" w:rsidR="00513BC6" w:rsidRPr="00513BC6" w:rsidRDefault="00513BC6" w:rsidP="00307790">
            <w:pPr>
              <w:spacing w:after="0"/>
              <w:rPr>
                <w:rFonts w:asciiTheme="minorHAnsi" w:eastAsia="Times New Roman" w:hAnsiTheme="minorHAnsi" w:cstheme="minorHAnsi"/>
                <w:b w:val="0"/>
                <w:bCs/>
                <w:lang w:eastAsia="en-AU"/>
              </w:rPr>
            </w:pPr>
            <w:r w:rsidRPr="003D0A75">
              <w:rPr>
                <w:bCs/>
              </w:rPr>
              <w:t>Policy/Legislation Change</w:t>
            </w:r>
          </w:p>
        </w:tc>
        <w:tc>
          <w:tcPr>
            <w:tcW w:w="0" w:type="auto"/>
            <w:hideMark/>
          </w:tcPr>
          <w:p w14:paraId="24134C50" w14:textId="080A10B7" w:rsidR="00513BC6" w:rsidRPr="00241E34" w:rsidRDefault="00513BC6" w:rsidP="00C83CF7">
            <w:pPr>
              <w:cnfStyle w:val="000000000000" w:firstRow="0" w:lastRow="0" w:firstColumn="0" w:lastColumn="0" w:oddVBand="0" w:evenVBand="0" w:oddHBand="0" w:evenHBand="0" w:firstRowFirstColumn="0" w:firstRowLastColumn="0" w:lastRowFirstColumn="0" w:lastRowLastColumn="0"/>
              <w:rPr>
                <w:rStyle w:val="Strong"/>
              </w:rPr>
            </w:pPr>
            <w:r w:rsidRPr="00241E34">
              <w:rPr>
                <w:rStyle w:val="Strong"/>
              </w:rPr>
              <w:t xml:space="preserve">Recommendation 1, </w:t>
            </w:r>
            <w:r w:rsidR="00B05896" w:rsidRPr="00241E34">
              <w:rPr>
                <w:rStyle w:val="Strong"/>
              </w:rPr>
              <w:t xml:space="preserve">4, </w:t>
            </w:r>
            <w:r w:rsidRPr="00241E34">
              <w:rPr>
                <w:rStyle w:val="Strong"/>
              </w:rPr>
              <w:t xml:space="preserve">5a, 6, 7, 9, 10, 11, 13, 20 &amp; 21 </w:t>
            </w:r>
          </w:p>
          <w:p w14:paraId="13634E7D" w14:textId="2C5151C5"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These recommendations all involve both administrative and legislative changes in order to update, futureproof and modernise the Scheme to ensure it is best practice, appropriately flexible</w:t>
            </w:r>
            <w:r w:rsidR="00B05896">
              <w:rPr>
                <w:lang w:eastAsia="en-AU"/>
              </w:rPr>
              <w:t xml:space="preserve"> </w:t>
            </w:r>
            <w:r w:rsidRPr="00513BC6">
              <w:rPr>
                <w:lang w:eastAsia="en-AU"/>
              </w:rPr>
              <w:t xml:space="preserve">and risk-based, in an environment where understanding about the science and the inherent risks is evolving. </w:t>
            </w:r>
          </w:p>
        </w:tc>
        <w:tc>
          <w:tcPr>
            <w:tcW w:w="0" w:type="auto"/>
            <w:hideMark/>
          </w:tcPr>
          <w:p w14:paraId="63C6D871" w14:textId="0DA29BCF" w:rsidR="00513BC6" w:rsidRPr="00513BC6" w:rsidRDefault="001A3588" w:rsidP="00C83CF7">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Partially completed</w:t>
            </w:r>
          </w:p>
          <w:p w14:paraId="5E6A4862"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Key deliverables for 2021 include:</w:t>
            </w:r>
          </w:p>
          <w:p w14:paraId="2E67AF92" w14:textId="77777777" w:rsidR="00513BC6" w:rsidRPr="00513BC6" w:rsidRDefault="00513BC6" w:rsidP="00C83CF7">
            <w:pPr>
              <w:pStyle w:val="ListParagraph"/>
              <w:numPr>
                <w:ilvl w:val="0"/>
                <w:numId w:val="14"/>
              </w:numPr>
              <w:ind w:left="450"/>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Consultation on a preferred regulatory model in which to implement Review recommendations</w:t>
            </w:r>
          </w:p>
          <w:p w14:paraId="5AC730F4" w14:textId="77777777" w:rsidR="00513BC6" w:rsidRPr="00513BC6" w:rsidRDefault="00513BC6" w:rsidP="00C83CF7">
            <w:pPr>
              <w:pStyle w:val="ListParagraph"/>
              <w:numPr>
                <w:ilvl w:val="0"/>
                <w:numId w:val="14"/>
              </w:numPr>
              <w:ind w:left="450"/>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Final GTMM agreement on a preferred regulatory model</w:t>
            </w:r>
          </w:p>
          <w:p w14:paraId="26ADF455" w14:textId="77777777" w:rsidR="00513BC6" w:rsidRPr="00513BC6" w:rsidRDefault="00513BC6" w:rsidP="00C83CF7">
            <w:pPr>
              <w:pStyle w:val="ListParagraph"/>
              <w:numPr>
                <w:ilvl w:val="0"/>
                <w:numId w:val="14"/>
              </w:numPr>
              <w:ind w:left="450"/>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Legislative drafting to give effect to Review recommendations</w:t>
            </w:r>
          </w:p>
          <w:p w14:paraId="7A8325BC" w14:textId="77777777" w:rsidR="00513BC6" w:rsidRPr="00513BC6" w:rsidRDefault="00513BC6" w:rsidP="00C83CF7">
            <w:pPr>
              <w:pStyle w:val="ListParagraph"/>
              <w:numPr>
                <w:ilvl w:val="0"/>
                <w:numId w:val="14"/>
              </w:numPr>
              <w:ind w:left="450"/>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 xml:space="preserve">Consultation on proposed legislation </w:t>
            </w:r>
          </w:p>
        </w:tc>
      </w:tr>
      <w:tr w:rsidR="00513BC6" w:rsidRPr="00833544" w14:paraId="5280C7B5" w14:textId="77777777" w:rsidTr="003F6986">
        <w:trPr>
          <w:trHeight w:val="972"/>
        </w:trPr>
        <w:tc>
          <w:tcPr>
            <w:cnfStyle w:val="001000000000" w:firstRow="0" w:lastRow="0" w:firstColumn="1" w:lastColumn="0" w:oddVBand="0" w:evenVBand="0" w:oddHBand="0" w:evenHBand="0" w:firstRowFirstColumn="0" w:firstRowLastColumn="0" w:lastRowFirstColumn="0" w:lastRowLastColumn="0"/>
            <w:tcW w:w="0" w:type="auto"/>
            <w:noWrap/>
            <w:hideMark/>
          </w:tcPr>
          <w:p w14:paraId="337BAE1C" w14:textId="77777777" w:rsidR="00513BC6" w:rsidRPr="00513BC6" w:rsidRDefault="00513BC6" w:rsidP="00307790">
            <w:pPr>
              <w:spacing w:after="0"/>
              <w:rPr>
                <w:rFonts w:asciiTheme="minorHAnsi" w:eastAsia="Times New Roman" w:hAnsiTheme="minorHAnsi" w:cstheme="minorHAnsi"/>
                <w:b w:val="0"/>
                <w:bCs/>
                <w:lang w:eastAsia="en-AU"/>
              </w:rPr>
            </w:pPr>
            <w:r w:rsidRPr="003D0A75">
              <w:rPr>
                <w:bCs/>
              </w:rPr>
              <w:t>Funding</w:t>
            </w:r>
          </w:p>
        </w:tc>
        <w:tc>
          <w:tcPr>
            <w:tcW w:w="0" w:type="auto"/>
            <w:hideMark/>
          </w:tcPr>
          <w:p w14:paraId="2AD3282A" w14:textId="77777777" w:rsidR="00513BC6" w:rsidRPr="00241E34" w:rsidRDefault="00513BC6" w:rsidP="00C83CF7">
            <w:pPr>
              <w:cnfStyle w:val="000000000000" w:firstRow="0" w:lastRow="0" w:firstColumn="0" w:lastColumn="0" w:oddVBand="0" w:evenVBand="0" w:oddHBand="0" w:evenHBand="0" w:firstRowFirstColumn="0" w:firstRowLastColumn="0" w:lastRowFirstColumn="0" w:lastRowLastColumn="0"/>
              <w:rPr>
                <w:rStyle w:val="Strong"/>
              </w:rPr>
            </w:pPr>
            <w:r w:rsidRPr="00241E34">
              <w:rPr>
                <w:rStyle w:val="Strong"/>
              </w:rPr>
              <w:t>Recommendation 22</w:t>
            </w:r>
          </w:p>
          <w:p w14:paraId="01B88B62"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 xml:space="preserve">This recommendation requires further consideration be given to the most appropriate funding mechanisms to support the ongoing operation of the Scheme, and to appropriate funding levels for the Gene Technology Regulator’s activities, </w:t>
            </w:r>
            <w:proofErr w:type="gramStart"/>
            <w:r w:rsidRPr="00513BC6">
              <w:rPr>
                <w:lang w:eastAsia="en-AU"/>
              </w:rPr>
              <w:t>taking into account</w:t>
            </w:r>
            <w:proofErr w:type="gramEnd"/>
            <w:r w:rsidRPr="00513BC6">
              <w:rPr>
                <w:lang w:eastAsia="en-AU"/>
              </w:rPr>
              <w:t xml:space="preserve"> any changes to the Scheme.</w:t>
            </w:r>
          </w:p>
        </w:tc>
        <w:tc>
          <w:tcPr>
            <w:tcW w:w="0" w:type="auto"/>
            <w:hideMark/>
          </w:tcPr>
          <w:p w14:paraId="1FC7E3F4" w14:textId="77777777" w:rsidR="00513BC6" w:rsidRPr="00513BC6" w:rsidRDefault="00513BC6" w:rsidP="00C83CF7">
            <w:pPr>
              <w:cnfStyle w:val="000000000000" w:firstRow="0" w:lastRow="0" w:firstColumn="0" w:lastColumn="0" w:oddVBand="0" w:evenVBand="0" w:oddHBand="0" w:evenHBand="0" w:firstRowFirstColumn="0" w:firstRowLastColumn="0" w:lastRowFirstColumn="0" w:lastRowLastColumn="0"/>
              <w:rPr>
                <w:lang w:eastAsia="en-AU"/>
              </w:rPr>
            </w:pPr>
            <w:r w:rsidRPr="00513BC6">
              <w:rPr>
                <w:lang w:eastAsia="en-AU"/>
              </w:rPr>
              <w:t>This recommendation cannot commence until a revised regulatory framework and associated legislation are finalised</w:t>
            </w:r>
          </w:p>
        </w:tc>
      </w:tr>
    </w:tbl>
    <w:p w14:paraId="1E824F36" w14:textId="707D94BB" w:rsidR="00B269D9" w:rsidRPr="00191A2E" w:rsidRDefault="00B269D9" w:rsidP="00C83CF7">
      <w:pPr>
        <w:pStyle w:val="Heading1"/>
        <w:pageBreakBefore/>
        <w:rPr>
          <w:rFonts w:ascii="Arial" w:eastAsiaTheme="majorEastAsia" w:hAnsi="Arial" w:cs="Arial"/>
          <w:iCs/>
          <w:color w:val="auto"/>
          <w:sz w:val="28"/>
          <w:szCs w:val="28"/>
          <w:lang w:val="en-AU" w:eastAsia="en-IN"/>
        </w:rPr>
      </w:pPr>
      <w:bookmarkStart w:id="2" w:name="Recommend"/>
      <w:bookmarkEnd w:id="2"/>
      <w:r w:rsidRPr="00191A2E">
        <w:rPr>
          <w:rFonts w:ascii="Arial" w:hAnsi="Arial" w:cs="Arial"/>
        </w:rPr>
        <w:lastRenderedPageBreak/>
        <w:t>List of Review Recommendations</w:t>
      </w:r>
    </w:p>
    <w:p w14:paraId="177E38DA" w14:textId="599AB0ED" w:rsidR="007A5D90" w:rsidRPr="00191A2E" w:rsidRDefault="007A5D90" w:rsidP="00241E34">
      <w:pPr>
        <w:pStyle w:val="Heading2"/>
        <w:ind w:left="0"/>
        <w:rPr>
          <w:rFonts w:ascii="Arial" w:hAnsi="Arial" w:cs="Arial"/>
        </w:rPr>
      </w:pPr>
      <w:r w:rsidRPr="00191A2E">
        <w:rPr>
          <w:rFonts w:ascii="Arial" w:hAnsi="Arial" w:cs="Arial"/>
        </w:rPr>
        <w:t>Overarching Issues</w:t>
      </w:r>
    </w:p>
    <w:p w14:paraId="66C0D4D8" w14:textId="20B694FC" w:rsidR="00B05EA9" w:rsidRPr="00191A2E" w:rsidRDefault="00B05EA9" w:rsidP="00241E34">
      <w:pPr>
        <w:widowControl w:val="0"/>
        <w:tabs>
          <w:tab w:val="clear" w:pos="2092"/>
          <w:tab w:val="clear" w:pos="4076"/>
        </w:tabs>
        <w:autoSpaceDE/>
        <w:autoSpaceDN/>
        <w:adjustRightInd/>
        <w:ind w:right="939"/>
        <w:rPr>
          <w:lang w:eastAsia="en-AU"/>
        </w:rPr>
      </w:pPr>
      <w:r w:rsidRPr="00191A2E">
        <w:rPr>
          <w:rStyle w:val="Strong"/>
          <w:rFonts w:ascii="Arial" w:hAnsi="Arial" w:cs="Arial"/>
        </w:rPr>
        <w:t>Recommendation 1</w:t>
      </w:r>
      <w:r w:rsidRPr="00B05EA9">
        <w:rPr>
          <w:rFonts w:ascii="Arial" w:eastAsia="Courier New" w:hAnsi="Arial" w:cs="Courier New"/>
          <w:color w:val="auto"/>
          <w:sz w:val="20"/>
          <w:szCs w:val="24"/>
          <w:lang w:val="en-AU" w:eastAsia="en-IN"/>
        </w:rPr>
        <w:t xml:space="preserve">: </w:t>
      </w:r>
      <w:r w:rsidRPr="00191A2E">
        <w:rPr>
          <w:sz w:val="20"/>
          <w:szCs w:val="20"/>
          <w:lang w:eastAsia="en-AU"/>
        </w:rPr>
        <w:t>To build upon and futureproof the Scheme, which is highly regarded, the Review recommends:</w:t>
      </w:r>
    </w:p>
    <w:p w14:paraId="0EB25FAD" w14:textId="77777777" w:rsidR="00B05EA9" w:rsidRPr="00191A2E" w:rsidRDefault="00B05EA9" w:rsidP="00241E34">
      <w:pPr>
        <w:widowControl w:val="0"/>
        <w:tabs>
          <w:tab w:val="clear" w:pos="2092"/>
          <w:tab w:val="clear" w:pos="4076"/>
        </w:tabs>
        <w:autoSpaceDE/>
        <w:autoSpaceDN/>
        <w:adjustRightInd/>
        <w:ind w:left="1134" w:right="941" w:hanging="437"/>
        <w:rPr>
          <w:sz w:val="20"/>
          <w:szCs w:val="20"/>
          <w:lang w:eastAsia="en-AU"/>
        </w:rPr>
      </w:pPr>
      <w:r w:rsidRPr="00191A2E">
        <w:rPr>
          <w:sz w:val="20"/>
          <w:szCs w:val="20"/>
          <w:lang w:eastAsia="en-AU"/>
        </w:rPr>
        <w:t>a)</w:t>
      </w:r>
      <w:r w:rsidRPr="00191A2E">
        <w:rPr>
          <w:sz w:val="20"/>
          <w:szCs w:val="20"/>
          <w:lang w:eastAsia="en-AU"/>
        </w:rPr>
        <w:tab/>
        <w:t>the Forum progress options to update and enhance the operations of the Scheme; and</w:t>
      </w:r>
    </w:p>
    <w:p w14:paraId="6C0D3754" w14:textId="77777777" w:rsidR="00B05EA9" w:rsidRPr="00191A2E" w:rsidRDefault="00B05EA9" w:rsidP="00241E34">
      <w:pPr>
        <w:widowControl w:val="0"/>
        <w:tabs>
          <w:tab w:val="clear" w:pos="2092"/>
          <w:tab w:val="clear" w:pos="4076"/>
        </w:tabs>
        <w:autoSpaceDE/>
        <w:autoSpaceDN/>
        <w:adjustRightInd/>
        <w:spacing w:after="240"/>
        <w:ind w:left="1134" w:right="941" w:hanging="437"/>
        <w:rPr>
          <w:sz w:val="20"/>
          <w:szCs w:val="20"/>
          <w:lang w:eastAsia="en-AU"/>
        </w:rPr>
      </w:pPr>
      <w:r w:rsidRPr="00191A2E">
        <w:rPr>
          <w:sz w:val="20"/>
          <w:szCs w:val="20"/>
          <w:lang w:eastAsia="en-AU"/>
        </w:rPr>
        <w:t>b)</w:t>
      </w:r>
      <w:r w:rsidRPr="00191A2E">
        <w:rPr>
          <w:sz w:val="20"/>
          <w:szCs w:val="20"/>
          <w:lang w:eastAsia="en-AU"/>
        </w:rPr>
        <w:tab/>
        <w:t>these options be implemented in short, medium and long-term tranches, according to an action plan to be developed by the Forum.</w:t>
      </w:r>
    </w:p>
    <w:p w14:paraId="5210764B" w14:textId="77777777" w:rsidR="00B05EA9" w:rsidRPr="00191A2E" w:rsidRDefault="00B05EA9" w:rsidP="00241E34">
      <w:pPr>
        <w:widowControl w:val="0"/>
        <w:tabs>
          <w:tab w:val="clear" w:pos="2092"/>
          <w:tab w:val="clear" w:pos="4076"/>
        </w:tabs>
        <w:autoSpaceDE/>
        <w:autoSpaceDN/>
        <w:adjustRightInd/>
        <w:spacing w:after="240"/>
        <w:ind w:right="939"/>
        <w:rPr>
          <w:sz w:val="20"/>
          <w:szCs w:val="20"/>
          <w:lang w:eastAsia="en-AU"/>
        </w:rPr>
      </w:pPr>
      <w:r w:rsidRPr="00191A2E">
        <w:rPr>
          <w:rStyle w:val="Strong"/>
          <w:rFonts w:ascii="Arial" w:hAnsi="Arial" w:cs="Arial"/>
        </w:rPr>
        <w:t>Recommendation 2:</w:t>
      </w:r>
      <w:r w:rsidRPr="00B05EA9">
        <w:rPr>
          <w:rFonts w:ascii="Arial" w:eastAsia="Courier New" w:hAnsi="Arial" w:cs="Courier New"/>
          <w:color w:val="auto"/>
          <w:sz w:val="20"/>
          <w:szCs w:val="24"/>
          <w:lang w:val="en-AU" w:eastAsia="en-IN"/>
        </w:rPr>
        <w:t xml:space="preserve"> </w:t>
      </w:r>
      <w:r w:rsidRPr="00191A2E">
        <w:rPr>
          <w:sz w:val="20"/>
          <w:szCs w:val="20"/>
          <w:lang w:eastAsia="en-AU"/>
        </w:rPr>
        <w:t>The Review recommends that the object of the Gene Technology Act 2000 be maintained.</w:t>
      </w:r>
    </w:p>
    <w:p w14:paraId="5C9700EC" w14:textId="77777777" w:rsidR="00B05EA9" w:rsidRPr="00B05EA9" w:rsidRDefault="00B05EA9" w:rsidP="00241E34">
      <w:pPr>
        <w:widowControl w:val="0"/>
        <w:tabs>
          <w:tab w:val="clear" w:pos="2092"/>
          <w:tab w:val="clear" w:pos="4076"/>
        </w:tabs>
        <w:autoSpaceDE/>
        <w:autoSpaceDN/>
        <w:adjustRightInd/>
        <w:spacing w:after="240"/>
        <w:ind w:right="939"/>
        <w:rPr>
          <w:rFonts w:ascii="Arial" w:eastAsia="Courier New" w:hAnsi="Arial" w:cs="Courier New"/>
          <w:color w:val="auto"/>
          <w:sz w:val="20"/>
          <w:szCs w:val="24"/>
          <w:lang w:val="en-AU" w:eastAsia="en-IN"/>
        </w:rPr>
      </w:pPr>
      <w:r w:rsidRPr="00191A2E">
        <w:rPr>
          <w:rStyle w:val="Strong"/>
          <w:rFonts w:ascii="Arial" w:hAnsi="Arial" w:cs="Arial"/>
        </w:rPr>
        <w:t>Recommendation 3</w:t>
      </w:r>
      <w:r w:rsidRPr="00191A2E">
        <w:rPr>
          <w:rFonts w:ascii="Arial" w:eastAsia="Courier New" w:hAnsi="Arial" w:cs="Courier New"/>
          <w:b/>
          <w:bCs/>
          <w:color w:val="auto"/>
          <w:sz w:val="20"/>
          <w:szCs w:val="24"/>
          <w:lang w:val="en-AU" w:eastAsia="en-IN"/>
        </w:rPr>
        <w:t>:</w:t>
      </w:r>
      <w:r w:rsidRPr="00B05EA9">
        <w:rPr>
          <w:rFonts w:ascii="Arial" w:eastAsia="Courier New" w:hAnsi="Arial" w:cs="Courier New"/>
          <w:color w:val="auto"/>
          <w:sz w:val="20"/>
          <w:szCs w:val="24"/>
          <w:lang w:val="en-AU" w:eastAsia="en-IN"/>
        </w:rPr>
        <w:t xml:space="preserve"> </w:t>
      </w:r>
      <w:r w:rsidRPr="00191A2E">
        <w:rPr>
          <w:sz w:val="20"/>
          <w:szCs w:val="20"/>
          <w:lang w:eastAsia="en-AU"/>
        </w:rPr>
        <w:t>The Review recommends that the Gene Technology Agreement be maintained</w:t>
      </w:r>
      <w:r w:rsidRPr="00B05EA9">
        <w:rPr>
          <w:rFonts w:ascii="Arial" w:eastAsia="Courier New" w:hAnsi="Arial" w:cs="Courier New"/>
          <w:color w:val="auto"/>
          <w:sz w:val="20"/>
          <w:szCs w:val="24"/>
          <w:lang w:val="en-AU" w:eastAsia="en-IN"/>
        </w:rPr>
        <w:t>.</w:t>
      </w:r>
    </w:p>
    <w:p w14:paraId="280B4A3B" w14:textId="77777777" w:rsidR="00B05EA9" w:rsidRPr="00191A2E" w:rsidRDefault="00B05EA9" w:rsidP="008100F0">
      <w:pPr>
        <w:pStyle w:val="Heading2"/>
        <w:keepNext w:val="0"/>
        <w:ind w:left="0" w:right="941"/>
        <w:rPr>
          <w:rFonts w:ascii="Arial" w:hAnsi="Arial" w:cs="Arial"/>
        </w:rPr>
      </w:pPr>
      <w:bookmarkStart w:id="3" w:name="_Toc527672617"/>
      <w:r w:rsidRPr="00191A2E">
        <w:rPr>
          <w:rFonts w:ascii="Arial" w:hAnsi="Arial" w:cs="Arial"/>
        </w:rPr>
        <w:t>Review Theme One: Technical Issues</w:t>
      </w:r>
      <w:bookmarkEnd w:id="3"/>
    </w:p>
    <w:p w14:paraId="542B93DF" w14:textId="77777777" w:rsidR="00B05EA9" w:rsidRPr="00191A2E" w:rsidRDefault="00B05EA9" w:rsidP="00241E34">
      <w:pPr>
        <w:widowControl w:val="0"/>
        <w:tabs>
          <w:tab w:val="clear" w:pos="2092"/>
          <w:tab w:val="clear" w:pos="4076"/>
        </w:tabs>
        <w:autoSpaceDE/>
        <w:autoSpaceDN/>
        <w:adjustRightInd/>
        <w:spacing w:after="240"/>
        <w:ind w:right="941"/>
        <w:rPr>
          <w:sz w:val="20"/>
          <w:szCs w:val="20"/>
          <w:lang w:eastAsia="en-AU"/>
        </w:rPr>
      </w:pPr>
      <w:r w:rsidRPr="00191A2E">
        <w:rPr>
          <w:rStyle w:val="Strong"/>
          <w:rFonts w:ascii="Arial" w:hAnsi="Arial" w:cs="Arial"/>
        </w:rPr>
        <w:t>Recommendation 4:</w:t>
      </w:r>
      <w:r w:rsidRPr="00B05EA9">
        <w:rPr>
          <w:rFonts w:ascii="Arial" w:eastAsia="Courier New" w:hAnsi="Arial" w:cs="Courier New"/>
          <w:color w:val="auto"/>
          <w:sz w:val="20"/>
          <w:szCs w:val="24"/>
          <w:lang w:val="en-AU" w:eastAsia="en-IN"/>
        </w:rPr>
        <w:t xml:space="preserve"> </w:t>
      </w:r>
      <w:r w:rsidRPr="00191A2E">
        <w:rPr>
          <w:sz w:val="20"/>
          <w:szCs w:val="20"/>
          <w:lang w:eastAsia="en-AU"/>
        </w:rPr>
        <w:t>The Review recommends updating, where required, the existing definitions in the Gene Technology Act 2000 (</w:t>
      </w:r>
      <w:proofErr w:type="spellStart"/>
      <w:r w:rsidRPr="00191A2E">
        <w:rPr>
          <w:sz w:val="20"/>
          <w:szCs w:val="20"/>
          <w:lang w:eastAsia="en-AU"/>
        </w:rPr>
        <w:t>Cth</w:t>
      </w:r>
      <w:proofErr w:type="spellEnd"/>
      <w:r w:rsidRPr="00191A2E">
        <w:rPr>
          <w:sz w:val="20"/>
          <w:szCs w:val="20"/>
          <w:lang w:eastAsia="en-AU"/>
        </w:rPr>
        <w:t xml:space="preserve">), to clarify the scope of regulation </w:t>
      </w:r>
      <w:proofErr w:type="gramStart"/>
      <w:r w:rsidRPr="00191A2E">
        <w:rPr>
          <w:sz w:val="20"/>
          <w:szCs w:val="20"/>
          <w:lang w:eastAsia="en-AU"/>
        </w:rPr>
        <w:t>in light of</w:t>
      </w:r>
      <w:proofErr w:type="gramEnd"/>
      <w:r w:rsidRPr="00191A2E">
        <w:rPr>
          <w:sz w:val="20"/>
          <w:szCs w:val="20"/>
          <w:lang w:eastAsia="en-AU"/>
        </w:rPr>
        <w:t xml:space="preserve"> ongoing technical advances. Any changes to definitions should </w:t>
      </w:r>
      <w:proofErr w:type="gramStart"/>
      <w:r w:rsidRPr="00191A2E">
        <w:rPr>
          <w:sz w:val="20"/>
          <w:szCs w:val="20"/>
          <w:lang w:eastAsia="en-AU"/>
        </w:rPr>
        <w:t>take into account</w:t>
      </w:r>
      <w:proofErr w:type="gramEnd"/>
      <w:r w:rsidRPr="00191A2E">
        <w:rPr>
          <w:sz w:val="20"/>
          <w:szCs w:val="20"/>
          <w:lang w:eastAsia="en-AU"/>
        </w:rPr>
        <w:t xml:space="preserve"> concurrent work, including relevant domestic reviews and ongoing work internationally.</w:t>
      </w:r>
    </w:p>
    <w:p w14:paraId="26D4B512" w14:textId="77777777" w:rsidR="00B05EA9" w:rsidRPr="00191A2E" w:rsidRDefault="00B05EA9" w:rsidP="00241E34">
      <w:pPr>
        <w:widowControl w:val="0"/>
        <w:tabs>
          <w:tab w:val="clear" w:pos="2092"/>
          <w:tab w:val="clear" w:pos="4076"/>
        </w:tabs>
        <w:autoSpaceDE/>
        <w:autoSpaceDN/>
        <w:adjustRightInd/>
        <w:ind w:right="941"/>
        <w:rPr>
          <w:sz w:val="20"/>
          <w:szCs w:val="20"/>
          <w:lang w:eastAsia="en-AU"/>
        </w:rPr>
      </w:pPr>
      <w:r w:rsidRPr="00191A2E">
        <w:rPr>
          <w:rStyle w:val="Strong"/>
        </w:rPr>
        <w:t>Recommendation 5:</w:t>
      </w:r>
      <w:r w:rsidRPr="00B05EA9">
        <w:rPr>
          <w:rFonts w:ascii="Arial" w:eastAsia="Courier New" w:hAnsi="Arial" w:cs="Courier New"/>
          <w:color w:val="auto"/>
          <w:sz w:val="20"/>
          <w:szCs w:val="24"/>
          <w:lang w:val="en-AU" w:eastAsia="en-IN"/>
        </w:rPr>
        <w:t xml:space="preserve"> </w:t>
      </w:r>
      <w:r w:rsidRPr="00191A2E">
        <w:rPr>
          <w:sz w:val="20"/>
          <w:szCs w:val="20"/>
          <w:lang w:eastAsia="en-AU"/>
        </w:rPr>
        <w:t>The Review recommends that:</w:t>
      </w:r>
    </w:p>
    <w:p w14:paraId="49332BF6" w14:textId="77777777" w:rsidR="00B05EA9" w:rsidRPr="00191A2E" w:rsidRDefault="00B05EA9" w:rsidP="00241E34">
      <w:pPr>
        <w:widowControl w:val="0"/>
        <w:tabs>
          <w:tab w:val="clear" w:pos="2092"/>
          <w:tab w:val="clear" w:pos="4076"/>
        </w:tabs>
        <w:autoSpaceDE/>
        <w:autoSpaceDN/>
        <w:adjustRightInd/>
        <w:ind w:left="1134" w:right="941" w:hanging="437"/>
        <w:rPr>
          <w:sz w:val="20"/>
          <w:szCs w:val="20"/>
          <w:lang w:eastAsia="en-AU"/>
        </w:rPr>
      </w:pPr>
      <w:r w:rsidRPr="00191A2E">
        <w:rPr>
          <w:sz w:val="20"/>
          <w:szCs w:val="20"/>
          <w:lang w:eastAsia="en-AU"/>
        </w:rPr>
        <w:t>a)</w:t>
      </w:r>
      <w:r w:rsidRPr="00191A2E">
        <w:rPr>
          <w:sz w:val="20"/>
          <w:szCs w:val="20"/>
          <w:lang w:eastAsia="en-AU"/>
        </w:rPr>
        <w:tab/>
        <w:t>extensions and advancements of gene technology, such as synthetic biology, continue to remain within the scope of the Scheme; and</w:t>
      </w:r>
    </w:p>
    <w:p w14:paraId="4B2A4D97" w14:textId="77777777" w:rsidR="00B05EA9" w:rsidRPr="00191A2E" w:rsidRDefault="00B05EA9" w:rsidP="00241E34">
      <w:pPr>
        <w:widowControl w:val="0"/>
        <w:tabs>
          <w:tab w:val="clear" w:pos="2092"/>
          <w:tab w:val="clear" w:pos="4076"/>
        </w:tabs>
        <w:autoSpaceDE/>
        <w:autoSpaceDN/>
        <w:adjustRightInd/>
        <w:spacing w:after="240"/>
        <w:ind w:left="1134" w:right="941" w:hanging="437"/>
        <w:rPr>
          <w:sz w:val="20"/>
          <w:szCs w:val="20"/>
          <w:lang w:eastAsia="en-AU"/>
        </w:rPr>
      </w:pPr>
      <w:r w:rsidRPr="00191A2E">
        <w:rPr>
          <w:sz w:val="20"/>
          <w:szCs w:val="20"/>
          <w:lang w:eastAsia="en-AU"/>
        </w:rPr>
        <w:t>b)</w:t>
      </w:r>
      <w:r w:rsidRPr="00191A2E">
        <w:rPr>
          <w:sz w:val="20"/>
          <w:szCs w:val="20"/>
          <w:lang w:eastAsia="en-AU"/>
        </w:rPr>
        <w:tab/>
        <w:t>a watching brief on synthetic biology should be maintained, to ensure the appropriate level of regulation is applied to future applications of synthetic biology.</w:t>
      </w:r>
    </w:p>
    <w:p w14:paraId="30EF6FCD" w14:textId="77777777" w:rsidR="00B05EA9" w:rsidRPr="0029260B" w:rsidRDefault="00B05EA9" w:rsidP="00241E34">
      <w:pPr>
        <w:widowControl w:val="0"/>
        <w:tabs>
          <w:tab w:val="clear" w:pos="2092"/>
          <w:tab w:val="clear" w:pos="4076"/>
        </w:tabs>
        <w:autoSpaceDE/>
        <w:autoSpaceDN/>
        <w:adjustRightInd/>
        <w:ind w:right="939"/>
        <w:rPr>
          <w:sz w:val="20"/>
          <w:szCs w:val="20"/>
          <w:lang w:eastAsia="en-AU"/>
        </w:rPr>
      </w:pPr>
      <w:r w:rsidRPr="00241E34">
        <w:rPr>
          <w:rStyle w:val="Strong"/>
        </w:rPr>
        <w:t>Recommendation 6:</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w:t>
      </w:r>
    </w:p>
    <w:p w14:paraId="6CA0CC0F" w14:textId="77777777" w:rsidR="00B05EA9" w:rsidRPr="0029260B" w:rsidRDefault="00B05EA9" w:rsidP="00241E34">
      <w:pPr>
        <w:widowControl w:val="0"/>
        <w:tabs>
          <w:tab w:val="clear" w:pos="2092"/>
          <w:tab w:val="clear" w:pos="4076"/>
        </w:tabs>
        <w:autoSpaceDE/>
        <w:autoSpaceDN/>
        <w:adjustRightInd/>
        <w:ind w:left="1134" w:right="941" w:hanging="437"/>
        <w:rPr>
          <w:sz w:val="20"/>
          <w:szCs w:val="20"/>
          <w:lang w:eastAsia="en-AU"/>
        </w:rPr>
      </w:pPr>
      <w:r w:rsidRPr="0029260B">
        <w:rPr>
          <w:sz w:val="20"/>
          <w:szCs w:val="20"/>
          <w:lang w:eastAsia="en-AU"/>
        </w:rPr>
        <w:t>a)</w:t>
      </w:r>
      <w:r w:rsidRPr="0029260B">
        <w:rPr>
          <w:sz w:val="20"/>
          <w:szCs w:val="20"/>
          <w:lang w:eastAsia="en-AU"/>
        </w:rPr>
        <w:tab/>
        <w:t>the definition of a genetically modified organism under the Gene Technology Act 2000 (</w:t>
      </w:r>
      <w:proofErr w:type="spellStart"/>
      <w:r w:rsidRPr="0029260B">
        <w:rPr>
          <w:sz w:val="20"/>
          <w:szCs w:val="20"/>
          <w:lang w:eastAsia="en-AU"/>
        </w:rPr>
        <w:t>Cth</w:t>
      </w:r>
      <w:proofErr w:type="spellEnd"/>
      <w:r w:rsidRPr="0029260B">
        <w:rPr>
          <w:sz w:val="20"/>
          <w:szCs w:val="20"/>
          <w:lang w:eastAsia="en-AU"/>
        </w:rPr>
        <w:t>) be amended to clarify that humans are not [considered to be] GMOs; and that</w:t>
      </w:r>
    </w:p>
    <w:p w14:paraId="6FC14B51" w14:textId="77777777" w:rsidR="00B05EA9" w:rsidRPr="0029260B" w:rsidRDefault="00B05EA9" w:rsidP="00241E34">
      <w:pPr>
        <w:widowControl w:val="0"/>
        <w:tabs>
          <w:tab w:val="clear" w:pos="2092"/>
          <w:tab w:val="clear" w:pos="4076"/>
        </w:tabs>
        <w:autoSpaceDE/>
        <w:autoSpaceDN/>
        <w:adjustRightInd/>
        <w:spacing w:after="240"/>
        <w:ind w:left="1134" w:right="941" w:hanging="437"/>
        <w:rPr>
          <w:sz w:val="20"/>
          <w:szCs w:val="20"/>
          <w:lang w:eastAsia="en-AU"/>
        </w:rPr>
      </w:pPr>
      <w:r w:rsidRPr="0029260B">
        <w:rPr>
          <w:sz w:val="20"/>
          <w:szCs w:val="20"/>
          <w:lang w:eastAsia="en-AU"/>
        </w:rPr>
        <w:t>b)</w:t>
      </w:r>
      <w:r w:rsidRPr="0029260B">
        <w:rPr>
          <w:sz w:val="20"/>
          <w:szCs w:val="20"/>
          <w:lang w:eastAsia="en-AU"/>
        </w:rPr>
        <w:tab/>
        <w:t>subject to consideration, the COAG (Council of Australian Governments) Health Council might also consider whether additional regulatory oversight is needed for humans who may receive or inherit germline therapies (or other somatic therapies not within the remit of the Scheme). The COAG Health Council should also consider which regulatory (or other) body would be most appropriate to undertake such oversight.</w:t>
      </w:r>
    </w:p>
    <w:p w14:paraId="6573439B" w14:textId="77777777" w:rsidR="00B05EA9" w:rsidRPr="0029260B" w:rsidRDefault="00B05EA9" w:rsidP="00241E34">
      <w:pPr>
        <w:keepNext/>
        <w:widowControl w:val="0"/>
        <w:tabs>
          <w:tab w:val="clear" w:pos="2092"/>
          <w:tab w:val="clear" w:pos="4076"/>
        </w:tabs>
        <w:autoSpaceDE/>
        <w:autoSpaceDN/>
        <w:adjustRightInd/>
        <w:ind w:right="939"/>
        <w:rPr>
          <w:sz w:val="20"/>
          <w:szCs w:val="20"/>
          <w:lang w:eastAsia="en-AU"/>
        </w:rPr>
      </w:pPr>
      <w:r w:rsidRPr="00241E34">
        <w:rPr>
          <w:rStyle w:val="Strong"/>
        </w:rPr>
        <w:t>Recommendation 7</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clarifying, and where necessary strengthening, the mechanisms for regulating the:</w:t>
      </w:r>
    </w:p>
    <w:p w14:paraId="11F581C7" w14:textId="77777777" w:rsidR="00B05EA9" w:rsidRPr="0029260B" w:rsidRDefault="00B05EA9" w:rsidP="00241E34">
      <w:pPr>
        <w:widowControl w:val="0"/>
        <w:tabs>
          <w:tab w:val="clear" w:pos="2092"/>
          <w:tab w:val="clear" w:pos="4076"/>
        </w:tabs>
        <w:autoSpaceDE/>
        <w:autoSpaceDN/>
        <w:adjustRightInd/>
        <w:ind w:left="1134" w:right="941" w:hanging="437"/>
        <w:rPr>
          <w:sz w:val="20"/>
          <w:szCs w:val="20"/>
          <w:lang w:eastAsia="en-AU"/>
        </w:rPr>
      </w:pPr>
      <w:r w:rsidRPr="0029260B">
        <w:rPr>
          <w:sz w:val="20"/>
          <w:szCs w:val="20"/>
          <w:lang w:eastAsia="en-AU"/>
        </w:rPr>
        <w:t>a)</w:t>
      </w:r>
      <w:r w:rsidRPr="0029260B">
        <w:rPr>
          <w:sz w:val="20"/>
          <w:szCs w:val="20"/>
          <w:lang w:eastAsia="en-AU"/>
        </w:rPr>
        <w:tab/>
        <w:t>broader environmental release of genetically modified organisms; and</w:t>
      </w:r>
    </w:p>
    <w:p w14:paraId="12807B6C" w14:textId="77777777" w:rsidR="00B05EA9" w:rsidRPr="0029260B" w:rsidRDefault="00B05EA9" w:rsidP="00241E34">
      <w:pPr>
        <w:widowControl w:val="0"/>
        <w:tabs>
          <w:tab w:val="clear" w:pos="2092"/>
          <w:tab w:val="clear" w:pos="4076"/>
        </w:tabs>
        <w:autoSpaceDE/>
        <w:autoSpaceDN/>
        <w:adjustRightInd/>
        <w:ind w:left="1134" w:right="941" w:hanging="437"/>
        <w:rPr>
          <w:sz w:val="20"/>
          <w:szCs w:val="20"/>
          <w:lang w:eastAsia="en-AU"/>
        </w:rPr>
      </w:pPr>
      <w:r w:rsidRPr="0029260B">
        <w:rPr>
          <w:sz w:val="20"/>
          <w:szCs w:val="20"/>
          <w:lang w:eastAsia="en-AU"/>
        </w:rPr>
        <w:t>b)</w:t>
      </w:r>
      <w:r w:rsidRPr="0029260B">
        <w:rPr>
          <w:sz w:val="20"/>
          <w:szCs w:val="20"/>
          <w:lang w:eastAsia="en-AU"/>
        </w:rPr>
        <w:tab/>
        <w:t>environmental release of GM gene drive organisms (as well as any additional requirements for contained work).</w:t>
      </w:r>
    </w:p>
    <w:p w14:paraId="660BA6B0" w14:textId="0B9C0A29" w:rsidR="00B05EA9" w:rsidRPr="00B05EA9" w:rsidRDefault="00B05EA9" w:rsidP="00D3239E">
      <w:pPr>
        <w:pStyle w:val="Heading2"/>
        <w:keepLines/>
        <w:widowControl/>
        <w:ind w:left="0" w:right="941"/>
        <w:rPr>
          <w:rFonts w:eastAsia="Courier New"/>
        </w:rPr>
      </w:pPr>
      <w:bookmarkStart w:id="4" w:name="_Toc527672618"/>
      <w:r w:rsidRPr="00B05EA9">
        <w:rPr>
          <w:rFonts w:eastAsia="Courier New"/>
        </w:rPr>
        <w:lastRenderedPageBreak/>
        <w:t>Review Theme Two: Regulatory Issues</w:t>
      </w:r>
      <w:bookmarkEnd w:id="4"/>
    </w:p>
    <w:p w14:paraId="29E556D1" w14:textId="5E405AB4" w:rsidR="008100F0" w:rsidRPr="0029260B" w:rsidRDefault="00B05EA9" w:rsidP="00D3239E">
      <w:pPr>
        <w:keepNext/>
        <w:keepLines/>
        <w:tabs>
          <w:tab w:val="clear" w:pos="2092"/>
          <w:tab w:val="clear" w:pos="4076"/>
        </w:tabs>
        <w:autoSpaceDE/>
        <w:autoSpaceDN/>
        <w:adjustRightInd/>
        <w:spacing w:after="240"/>
        <w:ind w:right="941"/>
        <w:rPr>
          <w:sz w:val="20"/>
          <w:szCs w:val="20"/>
          <w:lang w:eastAsia="en-AU"/>
        </w:rPr>
      </w:pPr>
      <w:r w:rsidRPr="00241E34">
        <w:rPr>
          <w:rStyle w:val="Strong"/>
        </w:rPr>
        <w:t>Recommendation 8</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that a process-based trigger be maintained as the entry point for the Scheme at the present, to allow for any potential risks associated with new technologies to be initially considered within the scope of the Scheme.</w:t>
      </w:r>
    </w:p>
    <w:p w14:paraId="614B2428" w14:textId="77777777" w:rsidR="00B05EA9" w:rsidRPr="0029260B" w:rsidRDefault="00B05EA9" w:rsidP="008100F0">
      <w:pPr>
        <w:keepNext/>
        <w:keepLines/>
        <w:tabs>
          <w:tab w:val="clear" w:pos="2092"/>
          <w:tab w:val="clear" w:pos="4076"/>
        </w:tabs>
        <w:autoSpaceDE/>
        <w:autoSpaceDN/>
        <w:adjustRightInd/>
        <w:ind w:right="939"/>
        <w:rPr>
          <w:sz w:val="20"/>
          <w:szCs w:val="20"/>
          <w:lang w:eastAsia="en-AU"/>
        </w:rPr>
      </w:pPr>
      <w:r w:rsidRPr="00241E34">
        <w:rPr>
          <w:rStyle w:val="Strong"/>
        </w:rPr>
        <w:t>Recommendation 9:</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the introduction of additional risk tiering into the Scheme, to facilitate flexibility of the regulatory Scheme and ensure:</w:t>
      </w:r>
    </w:p>
    <w:p w14:paraId="1AB6FCEF" w14:textId="77777777" w:rsidR="00B05EA9" w:rsidRPr="0029260B" w:rsidRDefault="00B05EA9" w:rsidP="008100F0">
      <w:pPr>
        <w:keepNext/>
        <w:keepLines/>
        <w:tabs>
          <w:tab w:val="clear" w:pos="2092"/>
          <w:tab w:val="clear" w:pos="4076"/>
        </w:tabs>
        <w:autoSpaceDE/>
        <w:autoSpaceDN/>
        <w:adjustRightInd/>
        <w:ind w:left="1134" w:right="941" w:hanging="437"/>
        <w:rPr>
          <w:sz w:val="20"/>
          <w:szCs w:val="20"/>
          <w:lang w:eastAsia="en-AU"/>
        </w:rPr>
      </w:pPr>
      <w:r w:rsidRPr="0029260B">
        <w:rPr>
          <w:sz w:val="20"/>
          <w:szCs w:val="20"/>
          <w:lang w:eastAsia="en-AU"/>
        </w:rPr>
        <w:t>a)</w:t>
      </w:r>
      <w:r w:rsidRPr="0029260B">
        <w:rPr>
          <w:sz w:val="20"/>
          <w:szCs w:val="20"/>
          <w:lang w:eastAsia="en-AU"/>
        </w:rPr>
        <w:tab/>
        <w:t>the level of regulation remains proportionate to risk, and protects against under regulation and over-regulation; and</w:t>
      </w:r>
    </w:p>
    <w:p w14:paraId="79120D99" w14:textId="77777777" w:rsidR="00B05EA9" w:rsidRPr="0029260B" w:rsidRDefault="00B05EA9" w:rsidP="008100F0">
      <w:pPr>
        <w:keepNext/>
        <w:keepLines/>
        <w:tabs>
          <w:tab w:val="clear" w:pos="2092"/>
          <w:tab w:val="clear" w:pos="4076"/>
        </w:tabs>
        <w:autoSpaceDE/>
        <w:autoSpaceDN/>
        <w:adjustRightInd/>
        <w:spacing w:after="240"/>
        <w:ind w:left="1134" w:right="941" w:hanging="437"/>
        <w:rPr>
          <w:sz w:val="20"/>
          <w:szCs w:val="20"/>
          <w:lang w:eastAsia="en-AU"/>
        </w:rPr>
      </w:pPr>
      <w:r w:rsidRPr="0029260B">
        <w:rPr>
          <w:sz w:val="20"/>
          <w:szCs w:val="20"/>
          <w:lang w:eastAsia="en-AU"/>
        </w:rPr>
        <w:t>b)</w:t>
      </w:r>
      <w:r w:rsidRPr="0029260B">
        <w:rPr>
          <w:sz w:val="20"/>
          <w:szCs w:val="20"/>
          <w:lang w:eastAsia="en-AU"/>
        </w:rPr>
        <w:tab/>
        <w:t>where appropriate, there is flexibility to move organisms between categories, based on identification of new risks, a history of safe use, or other relevant factors.</w:t>
      </w:r>
    </w:p>
    <w:p w14:paraId="44A0B04D" w14:textId="77777777" w:rsidR="00B05EA9" w:rsidRPr="00B05EA9" w:rsidRDefault="00B05EA9" w:rsidP="00241E34">
      <w:pPr>
        <w:widowControl w:val="0"/>
        <w:tabs>
          <w:tab w:val="clear" w:pos="2092"/>
          <w:tab w:val="clear" w:pos="4076"/>
        </w:tabs>
        <w:autoSpaceDE/>
        <w:autoSpaceDN/>
        <w:adjustRightInd/>
        <w:spacing w:after="240"/>
        <w:ind w:right="939"/>
        <w:rPr>
          <w:rFonts w:ascii="Arial" w:eastAsia="Courier New" w:hAnsi="Arial" w:cs="Courier New"/>
          <w:color w:val="auto"/>
          <w:sz w:val="20"/>
          <w:szCs w:val="24"/>
          <w:lang w:val="en-AU" w:eastAsia="en-IN"/>
        </w:rPr>
      </w:pPr>
      <w:r w:rsidRPr="00241E34">
        <w:rPr>
          <w:rStyle w:val="Strong"/>
        </w:rPr>
        <w:t>Recommendation 10</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reducing regulatory burden through streamlining processes and current regulatory requirements where appropriate. For example, this may include streamlining facility certifications and application processes.</w:t>
      </w:r>
    </w:p>
    <w:p w14:paraId="63984E6A" w14:textId="77777777" w:rsidR="00B05EA9" w:rsidRPr="00B05EA9" w:rsidRDefault="00B05EA9" w:rsidP="00241E34">
      <w:pPr>
        <w:widowControl w:val="0"/>
        <w:tabs>
          <w:tab w:val="clear" w:pos="2092"/>
          <w:tab w:val="clear" w:pos="4076"/>
        </w:tabs>
        <w:autoSpaceDE/>
        <w:autoSpaceDN/>
        <w:adjustRightInd/>
        <w:spacing w:after="240"/>
        <w:ind w:right="939"/>
        <w:rPr>
          <w:rFonts w:ascii="Arial" w:eastAsia="Courier New" w:hAnsi="Arial" w:cs="Courier New"/>
          <w:color w:val="auto"/>
          <w:sz w:val="20"/>
          <w:szCs w:val="24"/>
          <w:lang w:val="en-AU" w:eastAsia="en-IN"/>
        </w:rPr>
      </w:pPr>
      <w:r w:rsidRPr="00241E34">
        <w:rPr>
          <w:rStyle w:val="Strong"/>
        </w:rPr>
        <w:t>Recommendation 11</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that changes be made to enable the GMO Register to be more effectively utilised within the Scheme.</w:t>
      </w:r>
    </w:p>
    <w:p w14:paraId="65052D8B" w14:textId="77777777" w:rsidR="00B05EA9" w:rsidRPr="0029260B" w:rsidRDefault="00B05EA9" w:rsidP="00241E34">
      <w:pPr>
        <w:widowControl w:val="0"/>
        <w:tabs>
          <w:tab w:val="clear" w:pos="2092"/>
          <w:tab w:val="clear" w:pos="4076"/>
        </w:tabs>
        <w:autoSpaceDE/>
        <w:autoSpaceDN/>
        <w:adjustRightInd/>
        <w:ind w:right="939"/>
        <w:rPr>
          <w:sz w:val="20"/>
          <w:szCs w:val="20"/>
          <w:lang w:eastAsia="en-AU"/>
        </w:rPr>
      </w:pPr>
      <w:r w:rsidRPr="00241E34">
        <w:rPr>
          <w:rStyle w:val="Strong"/>
        </w:rPr>
        <w:t>Recommendation 12</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that, to ensure the Scheme’s current monitoring and enforcement activities remain adequate:</w:t>
      </w:r>
    </w:p>
    <w:p w14:paraId="12B12310" w14:textId="77777777" w:rsidR="00B05EA9" w:rsidRPr="0029260B" w:rsidRDefault="00B05EA9" w:rsidP="00241E34">
      <w:pPr>
        <w:widowControl w:val="0"/>
        <w:tabs>
          <w:tab w:val="clear" w:pos="2092"/>
          <w:tab w:val="clear" w:pos="4076"/>
        </w:tabs>
        <w:autoSpaceDE/>
        <w:autoSpaceDN/>
        <w:adjustRightInd/>
        <w:ind w:left="1134" w:right="941" w:hanging="437"/>
        <w:rPr>
          <w:sz w:val="20"/>
          <w:szCs w:val="20"/>
          <w:lang w:eastAsia="en-AU"/>
        </w:rPr>
      </w:pPr>
      <w:r w:rsidRPr="0029260B">
        <w:rPr>
          <w:sz w:val="20"/>
          <w:szCs w:val="20"/>
          <w:lang w:eastAsia="en-AU"/>
        </w:rPr>
        <w:t>a)</w:t>
      </w:r>
      <w:r w:rsidRPr="0029260B">
        <w:rPr>
          <w:sz w:val="20"/>
          <w:szCs w:val="20"/>
          <w:lang w:eastAsia="en-AU"/>
        </w:rPr>
        <w:tab/>
        <w:t xml:space="preserve">regular reviews of these activities are </w:t>
      </w:r>
      <w:proofErr w:type="gramStart"/>
      <w:r w:rsidRPr="0029260B">
        <w:rPr>
          <w:sz w:val="20"/>
          <w:szCs w:val="20"/>
          <w:lang w:eastAsia="en-AU"/>
        </w:rPr>
        <w:t>undertaken;</w:t>
      </w:r>
      <w:proofErr w:type="gramEnd"/>
    </w:p>
    <w:p w14:paraId="309AD011" w14:textId="2C1108AA" w:rsidR="00B05EA9" w:rsidRPr="0029260B" w:rsidRDefault="00B05EA9" w:rsidP="00241E34">
      <w:pPr>
        <w:widowControl w:val="0"/>
        <w:tabs>
          <w:tab w:val="clear" w:pos="2092"/>
          <w:tab w:val="clear" w:pos="4076"/>
        </w:tabs>
        <w:autoSpaceDE/>
        <w:autoSpaceDN/>
        <w:adjustRightInd/>
        <w:ind w:left="1134" w:right="941" w:hanging="437"/>
        <w:rPr>
          <w:sz w:val="20"/>
          <w:szCs w:val="20"/>
          <w:lang w:eastAsia="en-AU"/>
        </w:rPr>
      </w:pPr>
      <w:r w:rsidRPr="0029260B">
        <w:rPr>
          <w:sz w:val="20"/>
          <w:szCs w:val="20"/>
          <w:lang w:eastAsia="en-AU"/>
        </w:rPr>
        <w:t>b)</w:t>
      </w:r>
      <w:r w:rsidRPr="0029260B">
        <w:rPr>
          <w:sz w:val="20"/>
          <w:szCs w:val="20"/>
          <w:lang w:eastAsia="en-AU"/>
        </w:rPr>
        <w:tab/>
        <w:t>regulatory requirements for working with gene technologies are widely communicated and known; and</w:t>
      </w:r>
    </w:p>
    <w:p w14:paraId="3E2CD8F1" w14:textId="568B5AC8" w:rsidR="00B05EA9" w:rsidRPr="0029260B" w:rsidRDefault="00B05EA9" w:rsidP="00241E34">
      <w:pPr>
        <w:widowControl w:val="0"/>
        <w:tabs>
          <w:tab w:val="clear" w:pos="2092"/>
          <w:tab w:val="clear" w:pos="4076"/>
        </w:tabs>
        <w:autoSpaceDE/>
        <w:autoSpaceDN/>
        <w:adjustRightInd/>
        <w:spacing w:after="240"/>
        <w:ind w:left="1134" w:right="941" w:hanging="437"/>
        <w:rPr>
          <w:sz w:val="20"/>
          <w:szCs w:val="20"/>
          <w:lang w:eastAsia="en-AU"/>
        </w:rPr>
      </w:pPr>
      <w:r w:rsidRPr="0029260B">
        <w:rPr>
          <w:sz w:val="20"/>
          <w:szCs w:val="20"/>
          <w:lang w:eastAsia="en-AU"/>
        </w:rPr>
        <w:t>c)</w:t>
      </w:r>
      <w:r w:rsidRPr="0029260B">
        <w:rPr>
          <w:sz w:val="20"/>
          <w:szCs w:val="20"/>
          <w:lang w:eastAsia="en-AU"/>
        </w:rPr>
        <w:tab/>
        <w:t>the scope and associated risks of ‘DIY biology’ activity continue to be monitored.</w:t>
      </w:r>
    </w:p>
    <w:p w14:paraId="598B7B4D" w14:textId="77777777" w:rsidR="00B05EA9" w:rsidRPr="0029260B" w:rsidRDefault="00B05EA9" w:rsidP="00241E34">
      <w:pPr>
        <w:widowControl w:val="0"/>
        <w:tabs>
          <w:tab w:val="clear" w:pos="2092"/>
          <w:tab w:val="clear" w:pos="4076"/>
        </w:tabs>
        <w:autoSpaceDE/>
        <w:autoSpaceDN/>
        <w:adjustRightInd/>
        <w:ind w:right="939"/>
        <w:rPr>
          <w:sz w:val="20"/>
          <w:szCs w:val="20"/>
          <w:lang w:eastAsia="en-AU"/>
        </w:rPr>
      </w:pPr>
      <w:r w:rsidRPr="00241E34">
        <w:rPr>
          <w:rStyle w:val="Strong"/>
        </w:rPr>
        <w:t>Recommendation 13:</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that to better respond to changes in scientific understanding and understandings of risk, consideration should be given to:</w:t>
      </w:r>
    </w:p>
    <w:p w14:paraId="57062C70" w14:textId="77777777" w:rsidR="00B05EA9" w:rsidRPr="0029260B" w:rsidRDefault="00B05EA9" w:rsidP="00241E34">
      <w:pPr>
        <w:widowControl w:val="0"/>
        <w:tabs>
          <w:tab w:val="clear" w:pos="2092"/>
          <w:tab w:val="clear" w:pos="4076"/>
        </w:tabs>
        <w:autoSpaceDE/>
        <w:autoSpaceDN/>
        <w:adjustRightInd/>
        <w:ind w:left="1134" w:right="941" w:hanging="437"/>
        <w:rPr>
          <w:sz w:val="20"/>
          <w:szCs w:val="20"/>
          <w:lang w:eastAsia="en-AU"/>
        </w:rPr>
      </w:pPr>
      <w:r w:rsidRPr="0029260B">
        <w:rPr>
          <w:sz w:val="20"/>
          <w:szCs w:val="20"/>
          <w:lang w:eastAsia="en-AU"/>
        </w:rPr>
        <w:t>a)</w:t>
      </w:r>
      <w:r w:rsidRPr="0029260B">
        <w:rPr>
          <w:sz w:val="20"/>
          <w:szCs w:val="20"/>
          <w:lang w:eastAsia="en-AU"/>
        </w:rPr>
        <w:tab/>
        <w:t>enabling the Gene Technology Regulator to make decisions on the applicability of regulation to any technological developments, until such time as a policy approach has been agreed; and</w:t>
      </w:r>
    </w:p>
    <w:p w14:paraId="22E39B02" w14:textId="77777777" w:rsidR="00B05EA9" w:rsidRPr="0029260B" w:rsidRDefault="00B05EA9" w:rsidP="00241E34">
      <w:pPr>
        <w:widowControl w:val="0"/>
        <w:tabs>
          <w:tab w:val="clear" w:pos="2092"/>
          <w:tab w:val="clear" w:pos="4076"/>
        </w:tabs>
        <w:autoSpaceDE/>
        <w:autoSpaceDN/>
        <w:adjustRightInd/>
        <w:spacing w:after="240"/>
        <w:ind w:left="1134" w:right="941" w:hanging="437"/>
        <w:rPr>
          <w:sz w:val="20"/>
          <w:szCs w:val="20"/>
          <w:lang w:eastAsia="en-AU"/>
        </w:rPr>
      </w:pPr>
      <w:r w:rsidRPr="0029260B">
        <w:rPr>
          <w:sz w:val="20"/>
          <w:szCs w:val="20"/>
          <w:lang w:eastAsia="en-AU"/>
        </w:rPr>
        <w:t>b)</w:t>
      </w:r>
      <w:r w:rsidRPr="0029260B">
        <w:rPr>
          <w:sz w:val="20"/>
          <w:szCs w:val="20"/>
          <w:lang w:eastAsia="en-AU"/>
        </w:rPr>
        <w:tab/>
        <w:t>introducing elements of principles-based regulation to some parts of the Scheme, focusing on areas of the Scheme with a history of safe use.</w:t>
      </w:r>
    </w:p>
    <w:p w14:paraId="10BE58CC" w14:textId="77777777" w:rsidR="00B05EA9" w:rsidRPr="0029260B" w:rsidRDefault="00B05EA9" w:rsidP="00241E34">
      <w:pPr>
        <w:widowControl w:val="0"/>
        <w:tabs>
          <w:tab w:val="clear" w:pos="2092"/>
          <w:tab w:val="clear" w:pos="4076"/>
        </w:tabs>
        <w:autoSpaceDE/>
        <w:autoSpaceDN/>
        <w:adjustRightInd/>
        <w:ind w:right="939"/>
        <w:rPr>
          <w:sz w:val="20"/>
          <w:szCs w:val="20"/>
          <w:lang w:eastAsia="en-AU"/>
        </w:rPr>
      </w:pPr>
      <w:r w:rsidRPr="00241E34">
        <w:rPr>
          <w:rStyle w:val="Strong"/>
        </w:rPr>
        <w:t>Recommendation 14</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reaffirming and clarifying governance arrangements to increase the agility of the Scheme, including more effective use of mechanisms for:</w:t>
      </w:r>
    </w:p>
    <w:p w14:paraId="71613F02" w14:textId="77777777" w:rsidR="00B05EA9" w:rsidRPr="0029260B" w:rsidRDefault="00B05EA9" w:rsidP="00241E34">
      <w:pPr>
        <w:widowControl w:val="0"/>
        <w:tabs>
          <w:tab w:val="clear" w:pos="2092"/>
          <w:tab w:val="clear" w:pos="4076"/>
        </w:tabs>
        <w:autoSpaceDE/>
        <w:autoSpaceDN/>
        <w:adjustRightInd/>
        <w:ind w:left="1134" w:right="941" w:hanging="437"/>
        <w:rPr>
          <w:sz w:val="20"/>
          <w:szCs w:val="20"/>
          <w:lang w:eastAsia="en-AU"/>
        </w:rPr>
      </w:pPr>
      <w:r w:rsidRPr="0029260B">
        <w:rPr>
          <w:sz w:val="20"/>
          <w:szCs w:val="20"/>
          <w:lang w:eastAsia="en-AU"/>
        </w:rPr>
        <w:t>a)</w:t>
      </w:r>
      <w:r w:rsidRPr="0029260B">
        <w:rPr>
          <w:sz w:val="20"/>
          <w:szCs w:val="20"/>
          <w:lang w:eastAsia="en-AU"/>
        </w:rPr>
        <w:tab/>
        <w:t>the Gene Technology Standing Committee to consider and recommend changes to the legislation for the Legislative and Governance Forum on Gene Technology endorsement; and</w:t>
      </w:r>
    </w:p>
    <w:p w14:paraId="3ABB12B5" w14:textId="77777777" w:rsidR="00B05EA9" w:rsidRPr="0029260B" w:rsidRDefault="00B05EA9" w:rsidP="005B0D56">
      <w:pPr>
        <w:widowControl w:val="0"/>
        <w:tabs>
          <w:tab w:val="clear" w:pos="2092"/>
          <w:tab w:val="clear" w:pos="4076"/>
        </w:tabs>
        <w:autoSpaceDE/>
        <w:autoSpaceDN/>
        <w:adjustRightInd/>
        <w:spacing w:after="240"/>
        <w:ind w:left="1134" w:right="941" w:hanging="437"/>
        <w:rPr>
          <w:sz w:val="20"/>
          <w:szCs w:val="20"/>
          <w:lang w:eastAsia="en-AU"/>
        </w:rPr>
      </w:pPr>
      <w:r w:rsidRPr="0029260B">
        <w:rPr>
          <w:sz w:val="20"/>
          <w:szCs w:val="20"/>
          <w:lang w:eastAsia="en-AU"/>
        </w:rPr>
        <w:t>b)</w:t>
      </w:r>
      <w:r w:rsidRPr="0029260B">
        <w:rPr>
          <w:sz w:val="20"/>
          <w:szCs w:val="20"/>
          <w:lang w:eastAsia="en-AU"/>
        </w:rPr>
        <w:tab/>
        <w:t>delegating certain activities and work programs of the Legislative and Governance Forum on Gene Technology to the Gene Technology Standing Committee.</w:t>
      </w:r>
    </w:p>
    <w:p w14:paraId="35C981A5" w14:textId="7D39DF83" w:rsidR="00B05EA9" w:rsidRPr="0029260B" w:rsidRDefault="00B05EA9" w:rsidP="005B0D56">
      <w:pPr>
        <w:keepNext/>
        <w:keepLines/>
        <w:tabs>
          <w:tab w:val="clear" w:pos="2092"/>
          <w:tab w:val="clear" w:pos="4076"/>
        </w:tabs>
        <w:autoSpaceDE/>
        <w:autoSpaceDN/>
        <w:adjustRightInd/>
        <w:ind w:right="939"/>
        <w:rPr>
          <w:sz w:val="20"/>
          <w:szCs w:val="20"/>
          <w:lang w:eastAsia="en-AU"/>
        </w:rPr>
      </w:pPr>
      <w:r w:rsidRPr="005B0D56">
        <w:rPr>
          <w:rStyle w:val="Strong"/>
        </w:rPr>
        <w:t>Recommendation 15</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that the Australian Government, including the Gene Technology Regulator on regulatory matters, continues to:</w:t>
      </w:r>
    </w:p>
    <w:p w14:paraId="0E7F7342" w14:textId="77777777" w:rsidR="00B05EA9" w:rsidRPr="0029260B" w:rsidRDefault="00B05EA9" w:rsidP="005B0D56">
      <w:pPr>
        <w:keepNext/>
        <w:keepLines/>
        <w:tabs>
          <w:tab w:val="clear" w:pos="2092"/>
          <w:tab w:val="clear" w:pos="4076"/>
        </w:tabs>
        <w:autoSpaceDE/>
        <w:autoSpaceDN/>
        <w:adjustRightInd/>
        <w:ind w:left="1134" w:right="941" w:hanging="437"/>
        <w:rPr>
          <w:sz w:val="20"/>
          <w:szCs w:val="20"/>
          <w:lang w:eastAsia="en-AU"/>
        </w:rPr>
      </w:pPr>
      <w:r w:rsidRPr="0029260B">
        <w:rPr>
          <w:sz w:val="20"/>
          <w:szCs w:val="20"/>
          <w:lang w:eastAsia="en-AU"/>
        </w:rPr>
        <w:t>a)</w:t>
      </w:r>
      <w:r w:rsidRPr="0029260B">
        <w:rPr>
          <w:sz w:val="20"/>
          <w:szCs w:val="20"/>
          <w:lang w:eastAsia="en-AU"/>
        </w:rPr>
        <w:tab/>
        <w:t>engage with appropriate international fora on matters relevant to market access and international trade; and</w:t>
      </w:r>
    </w:p>
    <w:p w14:paraId="4A75560F" w14:textId="77777777" w:rsidR="00B05EA9" w:rsidRPr="0029260B" w:rsidRDefault="00B05EA9" w:rsidP="005B0D56">
      <w:pPr>
        <w:widowControl w:val="0"/>
        <w:tabs>
          <w:tab w:val="clear" w:pos="2092"/>
          <w:tab w:val="clear" w:pos="4076"/>
        </w:tabs>
        <w:autoSpaceDE/>
        <w:autoSpaceDN/>
        <w:adjustRightInd/>
        <w:spacing w:after="240"/>
        <w:ind w:left="1134" w:right="941" w:hanging="437"/>
        <w:rPr>
          <w:sz w:val="20"/>
          <w:szCs w:val="20"/>
          <w:lang w:eastAsia="en-AU"/>
        </w:rPr>
      </w:pPr>
      <w:r w:rsidRPr="0029260B">
        <w:rPr>
          <w:sz w:val="20"/>
          <w:szCs w:val="20"/>
          <w:lang w:eastAsia="en-AU"/>
        </w:rPr>
        <w:t>b)</w:t>
      </w:r>
      <w:r w:rsidRPr="0029260B">
        <w:rPr>
          <w:sz w:val="20"/>
          <w:szCs w:val="20"/>
          <w:lang w:eastAsia="en-AU"/>
        </w:rPr>
        <w:tab/>
        <w:t>ensure that any relevant international obligations continue to be met.</w:t>
      </w:r>
    </w:p>
    <w:p w14:paraId="1273684D" w14:textId="77777777" w:rsidR="00B05EA9" w:rsidRPr="00B05EA9" w:rsidRDefault="00B05EA9" w:rsidP="00D3239E">
      <w:pPr>
        <w:pStyle w:val="Heading2"/>
        <w:keepLines/>
        <w:widowControl/>
        <w:ind w:left="0"/>
      </w:pPr>
      <w:bookmarkStart w:id="5" w:name="_Toc527672619"/>
      <w:r w:rsidRPr="00B05EA9">
        <w:lastRenderedPageBreak/>
        <w:t>Review Theme Three: Governance Issues</w:t>
      </w:r>
      <w:bookmarkEnd w:id="5"/>
    </w:p>
    <w:p w14:paraId="70750632" w14:textId="77777777" w:rsidR="00B05EA9" w:rsidRPr="0029260B" w:rsidRDefault="00B05EA9" w:rsidP="00D3239E">
      <w:pPr>
        <w:keepNext/>
        <w:keepLines/>
        <w:tabs>
          <w:tab w:val="clear" w:pos="2092"/>
          <w:tab w:val="clear" w:pos="4076"/>
        </w:tabs>
        <w:autoSpaceDE/>
        <w:autoSpaceDN/>
        <w:adjustRightInd/>
        <w:ind w:right="939"/>
        <w:rPr>
          <w:sz w:val="20"/>
          <w:szCs w:val="20"/>
          <w:lang w:eastAsia="en-AU"/>
        </w:rPr>
      </w:pPr>
      <w:r w:rsidRPr="005B0D56">
        <w:rPr>
          <w:rStyle w:val="Strong"/>
        </w:rPr>
        <w:t>Recommendation 16</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maintaining current governance mechanisms to ensure that the Scheme’s current levels of credibility, integrity and legitimacy are upheld. This includes maintaining:</w:t>
      </w:r>
    </w:p>
    <w:p w14:paraId="547B9D28" w14:textId="77777777" w:rsidR="00B05EA9" w:rsidRPr="0029260B" w:rsidRDefault="00B05EA9" w:rsidP="00D3239E">
      <w:pPr>
        <w:keepNext/>
        <w:keepLines/>
        <w:tabs>
          <w:tab w:val="clear" w:pos="2092"/>
          <w:tab w:val="clear" w:pos="4076"/>
        </w:tabs>
        <w:autoSpaceDE/>
        <w:autoSpaceDN/>
        <w:adjustRightInd/>
        <w:ind w:left="1134" w:right="941" w:hanging="437"/>
        <w:rPr>
          <w:sz w:val="20"/>
          <w:szCs w:val="20"/>
          <w:lang w:eastAsia="en-AU"/>
        </w:rPr>
      </w:pPr>
      <w:r w:rsidRPr="0029260B">
        <w:rPr>
          <w:sz w:val="20"/>
          <w:szCs w:val="20"/>
          <w:lang w:eastAsia="en-AU"/>
        </w:rPr>
        <w:t>a)</w:t>
      </w:r>
      <w:r w:rsidRPr="0029260B">
        <w:rPr>
          <w:sz w:val="20"/>
          <w:szCs w:val="20"/>
          <w:lang w:eastAsia="en-AU"/>
        </w:rPr>
        <w:tab/>
        <w:t xml:space="preserve">high level governance oversight provided by all states and territories through a Legislative and Governance Forum on Gene </w:t>
      </w:r>
      <w:proofErr w:type="gramStart"/>
      <w:r w:rsidRPr="0029260B">
        <w:rPr>
          <w:sz w:val="20"/>
          <w:szCs w:val="20"/>
          <w:lang w:eastAsia="en-AU"/>
        </w:rPr>
        <w:t>Technology;</w:t>
      </w:r>
      <w:proofErr w:type="gramEnd"/>
    </w:p>
    <w:p w14:paraId="2548DE13" w14:textId="77777777" w:rsidR="00B05EA9" w:rsidRPr="0029260B" w:rsidRDefault="00B05EA9" w:rsidP="00D3239E">
      <w:pPr>
        <w:keepNext/>
        <w:keepLines/>
        <w:tabs>
          <w:tab w:val="clear" w:pos="2092"/>
          <w:tab w:val="clear" w:pos="4076"/>
        </w:tabs>
        <w:autoSpaceDE/>
        <w:autoSpaceDN/>
        <w:adjustRightInd/>
        <w:ind w:left="1134" w:right="941" w:hanging="437"/>
        <w:rPr>
          <w:sz w:val="20"/>
          <w:szCs w:val="20"/>
          <w:lang w:eastAsia="en-AU"/>
        </w:rPr>
      </w:pPr>
      <w:r w:rsidRPr="0029260B">
        <w:rPr>
          <w:sz w:val="20"/>
          <w:szCs w:val="20"/>
          <w:lang w:eastAsia="en-AU"/>
        </w:rPr>
        <w:t>b)</w:t>
      </w:r>
      <w:r w:rsidRPr="0029260B">
        <w:rPr>
          <w:sz w:val="20"/>
          <w:szCs w:val="20"/>
          <w:lang w:eastAsia="en-AU"/>
        </w:rPr>
        <w:tab/>
        <w:t>the independence and credibility of the Gene Technology Regulator; and</w:t>
      </w:r>
    </w:p>
    <w:p w14:paraId="777C50DF" w14:textId="77777777" w:rsidR="00B05EA9" w:rsidRPr="0029260B" w:rsidRDefault="00B05EA9" w:rsidP="00D3239E">
      <w:pPr>
        <w:keepNext/>
        <w:keepLines/>
        <w:tabs>
          <w:tab w:val="clear" w:pos="2092"/>
          <w:tab w:val="clear" w:pos="4076"/>
        </w:tabs>
        <w:autoSpaceDE/>
        <w:autoSpaceDN/>
        <w:adjustRightInd/>
        <w:spacing w:after="240"/>
        <w:ind w:left="1134" w:right="941" w:hanging="437"/>
        <w:rPr>
          <w:sz w:val="20"/>
          <w:szCs w:val="20"/>
          <w:lang w:eastAsia="en-AU"/>
        </w:rPr>
      </w:pPr>
      <w:r w:rsidRPr="0029260B">
        <w:rPr>
          <w:sz w:val="20"/>
          <w:szCs w:val="20"/>
          <w:lang w:eastAsia="en-AU"/>
        </w:rPr>
        <w:t>c)</w:t>
      </w:r>
      <w:r w:rsidRPr="0029260B">
        <w:rPr>
          <w:sz w:val="20"/>
          <w:szCs w:val="20"/>
          <w:lang w:eastAsia="en-AU"/>
        </w:rPr>
        <w:tab/>
        <w:t>robust governance processes providing oversight of advisory structures and appointments.</w:t>
      </w:r>
    </w:p>
    <w:p w14:paraId="77377045" w14:textId="77777777" w:rsidR="00B05EA9" w:rsidRPr="0029260B" w:rsidRDefault="00B05EA9" w:rsidP="008100F0">
      <w:pPr>
        <w:keepNext/>
        <w:keepLines/>
        <w:tabs>
          <w:tab w:val="clear" w:pos="2092"/>
          <w:tab w:val="clear" w:pos="4076"/>
        </w:tabs>
        <w:autoSpaceDE/>
        <w:autoSpaceDN/>
        <w:adjustRightInd/>
        <w:spacing w:after="240"/>
        <w:ind w:right="941"/>
        <w:rPr>
          <w:sz w:val="20"/>
          <w:szCs w:val="20"/>
          <w:lang w:eastAsia="en-AU"/>
        </w:rPr>
      </w:pPr>
      <w:r w:rsidRPr="005B0D56">
        <w:rPr>
          <w:rStyle w:val="Strong"/>
        </w:rPr>
        <w:t>Recommendation 17</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that states and territories continue to ensure that their gene technology Acts remain corresponding and that appropriate mechanisms are in place to update corresponding state and territory legislation following amendment of the Gene Technology Act 2000 (</w:t>
      </w:r>
      <w:proofErr w:type="spellStart"/>
      <w:r w:rsidRPr="0029260B">
        <w:rPr>
          <w:sz w:val="20"/>
          <w:szCs w:val="20"/>
          <w:lang w:eastAsia="en-AU"/>
        </w:rPr>
        <w:t>Cth</w:t>
      </w:r>
      <w:proofErr w:type="spellEnd"/>
      <w:r w:rsidRPr="0029260B">
        <w:rPr>
          <w:sz w:val="20"/>
          <w:szCs w:val="20"/>
          <w:lang w:eastAsia="en-AU"/>
        </w:rPr>
        <w:t>).</w:t>
      </w:r>
    </w:p>
    <w:p w14:paraId="24DB119C" w14:textId="77777777" w:rsidR="00B05EA9" w:rsidRPr="0029260B" w:rsidRDefault="00B05EA9" w:rsidP="005B0D56">
      <w:pPr>
        <w:widowControl w:val="0"/>
        <w:tabs>
          <w:tab w:val="clear" w:pos="2092"/>
          <w:tab w:val="clear" w:pos="4076"/>
        </w:tabs>
        <w:autoSpaceDE/>
        <w:autoSpaceDN/>
        <w:adjustRightInd/>
        <w:spacing w:after="240"/>
        <w:ind w:right="939"/>
        <w:rPr>
          <w:sz w:val="20"/>
          <w:szCs w:val="20"/>
          <w:lang w:eastAsia="en-AU"/>
        </w:rPr>
      </w:pPr>
      <w:r w:rsidRPr="005B0D56">
        <w:rPr>
          <w:rStyle w:val="Strong"/>
        </w:rPr>
        <w:t>Recommendation 18</w:t>
      </w:r>
      <w:r w:rsidRPr="00B05EA9">
        <w:rPr>
          <w:rFonts w:ascii="Arial" w:eastAsia="Courier New" w:hAnsi="Arial" w:cs="Courier New"/>
          <w:color w:val="auto"/>
          <w:sz w:val="20"/>
          <w:szCs w:val="24"/>
          <w:lang w:val="en-AU" w:eastAsia="en-IN"/>
        </w:rPr>
        <w:t xml:space="preserve">: </w:t>
      </w:r>
      <w:r w:rsidRPr="0029260B">
        <w:rPr>
          <w:sz w:val="20"/>
          <w:szCs w:val="20"/>
          <w:lang w:eastAsia="en-AU"/>
        </w:rPr>
        <w:t xml:space="preserve">The Review recommends that states and territories </w:t>
      </w:r>
      <w:proofErr w:type="gramStart"/>
      <w:r w:rsidRPr="0029260B">
        <w:rPr>
          <w:sz w:val="20"/>
          <w:szCs w:val="20"/>
          <w:lang w:eastAsia="en-AU"/>
        </w:rPr>
        <w:t>give ongoing consideration to</w:t>
      </w:r>
      <w:proofErr w:type="gramEnd"/>
      <w:r w:rsidRPr="0029260B">
        <w:rPr>
          <w:sz w:val="20"/>
          <w:szCs w:val="20"/>
          <w:lang w:eastAsia="en-AU"/>
        </w:rPr>
        <w:t xml:space="preserve"> the economic effects, value and scope of moratoria.</w:t>
      </w:r>
    </w:p>
    <w:p w14:paraId="033F61F8" w14:textId="77777777" w:rsidR="00B05EA9" w:rsidRPr="0029260B" w:rsidRDefault="00B05EA9" w:rsidP="005B0D56">
      <w:pPr>
        <w:widowControl w:val="0"/>
        <w:tabs>
          <w:tab w:val="clear" w:pos="2092"/>
          <w:tab w:val="clear" w:pos="4076"/>
        </w:tabs>
        <w:autoSpaceDE/>
        <w:autoSpaceDN/>
        <w:adjustRightInd/>
        <w:spacing w:after="240"/>
        <w:ind w:right="939"/>
        <w:rPr>
          <w:sz w:val="20"/>
          <w:szCs w:val="20"/>
          <w:lang w:eastAsia="en-AU"/>
        </w:rPr>
      </w:pPr>
      <w:r w:rsidRPr="005B0D56">
        <w:rPr>
          <w:rStyle w:val="Strong"/>
        </w:rPr>
        <w:t>Recommendation 19</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that consideration of benefits (e.g. potential economic, environmental and health benefits) should not be introduced as an element of regulatory decision making at this time.</w:t>
      </w:r>
    </w:p>
    <w:p w14:paraId="319E27D5" w14:textId="77777777" w:rsidR="00B05EA9" w:rsidRPr="0029260B" w:rsidRDefault="00B05EA9" w:rsidP="005B0D56">
      <w:pPr>
        <w:widowControl w:val="0"/>
        <w:tabs>
          <w:tab w:val="clear" w:pos="2092"/>
          <w:tab w:val="clear" w:pos="4076"/>
        </w:tabs>
        <w:autoSpaceDE/>
        <w:autoSpaceDN/>
        <w:adjustRightInd/>
        <w:spacing w:after="240"/>
        <w:ind w:right="939"/>
        <w:rPr>
          <w:sz w:val="20"/>
          <w:szCs w:val="20"/>
          <w:lang w:eastAsia="en-AU"/>
        </w:rPr>
      </w:pPr>
      <w:r w:rsidRPr="005B0D56">
        <w:rPr>
          <w:rStyle w:val="Strong"/>
        </w:rPr>
        <w:t>Recommendation 20:</w:t>
      </w:r>
      <w:r w:rsidRPr="00B05EA9">
        <w:rPr>
          <w:rFonts w:ascii="Arial" w:eastAsia="Courier New" w:hAnsi="Arial" w:cs="Courier New"/>
          <w:color w:val="auto"/>
          <w:sz w:val="20"/>
          <w:szCs w:val="24"/>
          <w:lang w:val="en-AU" w:eastAsia="en-IN"/>
        </w:rPr>
        <w:t xml:space="preserve"> </w:t>
      </w:r>
      <w:r w:rsidRPr="0029260B">
        <w:rPr>
          <w:sz w:val="20"/>
          <w:szCs w:val="20"/>
          <w:lang w:eastAsia="en-AU"/>
        </w:rPr>
        <w:t xml:space="preserve">The Review recommends that the Scheme ensures regulation remains commensurate with the level of risk posed by a dealing (see </w:t>
      </w:r>
      <w:r w:rsidRPr="0029260B">
        <w:rPr>
          <w:rStyle w:val="Strong"/>
          <w:lang w:eastAsia="en-AU"/>
        </w:rPr>
        <w:t xml:space="preserve">Recommendations 9 </w:t>
      </w:r>
      <w:r w:rsidRPr="0029260B">
        <w:rPr>
          <w:lang w:eastAsia="en-AU"/>
        </w:rPr>
        <w:t>and</w:t>
      </w:r>
      <w:r w:rsidRPr="0029260B">
        <w:rPr>
          <w:rStyle w:val="Strong"/>
          <w:lang w:eastAsia="en-AU"/>
        </w:rPr>
        <w:t xml:space="preserve"> 10</w:t>
      </w:r>
      <w:r w:rsidRPr="0029260B">
        <w:rPr>
          <w:sz w:val="20"/>
          <w:szCs w:val="20"/>
          <w:lang w:eastAsia="en-AU"/>
        </w:rPr>
        <w:t>) so that no unnecessary regulatory burdens are imposed.</w:t>
      </w:r>
    </w:p>
    <w:p w14:paraId="1B6AEDD3" w14:textId="77777777" w:rsidR="00B05EA9" w:rsidRPr="0029260B" w:rsidRDefault="00B05EA9" w:rsidP="005B0D56">
      <w:pPr>
        <w:widowControl w:val="0"/>
        <w:tabs>
          <w:tab w:val="clear" w:pos="2092"/>
          <w:tab w:val="clear" w:pos="4076"/>
        </w:tabs>
        <w:autoSpaceDE/>
        <w:autoSpaceDN/>
        <w:adjustRightInd/>
        <w:ind w:right="939"/>
        <w:rPr>
          <w:sz w:val="20"/>
          <w:szCs w:val="20"/>
          <w:lang w:eastAsia="en-AU"/>
        </w:rPr>
      </w:pPr>
      <w:r w:rsidRPr="005B0D56">
        <w:rPr>
          <w:rStyle w:val="Strong"/>
        </w:rPr>
        <w:t>Recommendation 21</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clarifying the intersection between the Gene Technology Regulator, other regulators and legislation, which may include:</w:t>
      </w:r>
    </w:p>
    <w:p w14:paraId="70328128" w14:textId="77777777" w:rsidR="00B05EA9" w:rsidRPr="0029260B" w:rsidRDefault="00B05EA9" w:rsidP="005B0D56">
      <w:pPr>
        <w:widowControl w:val="0"/>
        <w:tabs>
          <w:tab w:val="clear" w:pos="2092"/>
          <w:tab w:val="clear" w:pos="4076"/>
        </w:tabs>
        <w:autoSpaceDE/>
        <w:autoSpaceDN/>
        <w:adjustRightInd/>
        <w:ind w:left="1134" w:right="941" w:hanging="437"/>
        <w:rPr>
          <w:sz w:val="20"/>
          <w:szCs w:val="20"/>
          <w:lang w:eastAsia="en-AU"/>
        </w:rPr>
      </w:pPr>
      <w:r w:rsidRPr="0029260B">
        <w:rPr>
          <w:sz w:val="20"/>
          <w:szCs w:val="20"/>
          <w:lang w:eastAsia="en-AU"/>
        </w:rPr>
        <w:t>a)</w:t>
      </w:r>
      <w:r w:rsidRPr="0029260B">
        <w:rPr>
          <w:sz w:val="20"/>
          <w:szCs w:val="20"/>
          <w:lang w:eastAsia="en-AU"/>
        </w:rPr>
        <w:tab/>
        <w:t xml:space="preserve">identifying opportunities to enhance communication mechanisms and </w:t>
      </w:r>
      <w:proofErr w:type="gramStart"/>
      <w:r w:rsidRPr="0029260B">
        <w:rPr>
          <w:sz w:val="20"/>
          <w:szCs w:val="20"/>
          <w:lang w:eastAsia="en-AU"/>
        </w:rPr>
        <w:t>linkages;</w:t>
      </w:r>
      <w:proofErr w:type="gramEnd"/>
    </w:p>
    <w:p w14:paraId="5C91BCA3" w14:textId="77777777" w:rsidR="00B05EA9" w:rsidRPr="0029260B" w:rsidRDefault="00B05EA9" w:rsidP="005B0D56">
      <w:pPr>
        <w:widowControl w:val="0"/>
        <w:tabs>
          <w:tab w:val="clear" w:pos="2092"/>
          <w:tab w:val="clear" w:pos="4076"/>
        </w:tabs>
        <w:autoSpaceDE/>
        <w:autoSpaceDN/>
        <w:adjustRightInd/>
        <w:ind w:left="1134" w:right="941" w:hanging="437"/>
        <w:rPr>
          <w:sz w:val="20"/>
          <w:szCs w:val="20"/>
          <w:lang w:eastAsia="en-AU"/>
        </w:rPr>
      </w:pPr>
      <w:r w:rsidRPr="0029260B">
        <w:rPr>
          <w:sz w:val="20"/>
          <w:szCs w:val="20"/>
          <w:lang w:eastAsia="en-AU"/>
        </w:rPr>
        <w:t>b)</w:t>
      </w:r>
      <w:r w:rsidRPr="0029260B">
        <w:rPr>
          <w:sz w:val="20"/>
          <w:szCs w:val="20"/>
          <w:lang w:eastAsia="en-AU"/>
        </w:rPr>
        <w:tab/>
        <w:t>identifying any emerging areas where legislative or administrative changes can be made, to reduce any unnecessary duplication; and</w:t>
      </w:r>
    </w:p>
    <w:p w14:paraId="5DFEA2A3" w14:textId="77777777" w:rsidR="00B05EA9" w:rsidRPr="0029260B" w:rsidRDefault="00B05EA9" w:rsidP="005B0D56">
      <w:pPr>
        <w:widowControl w:val="0"/>
        <w:tabs>
          <w:tab w:val="clear" w:pos="2092"/>
          <w:tab w:val="clear" w:pos="4076"/>
        </w:tabs>
        <w:autoSpaceDE/>
        <w:autoSpaceDN/>
        <w:adjustRightInd/>
        <w:spacing w:after="240"/>
        <w:ind w:left="1134" w:right="941" w:hanging="437"/>
        <w:rPr>
          <w:sz w:val="20"/>
          <w:szCs w:val="20"/>
          <w:lang w:eastAsia="en-AU"/>
        </w:rPr>
      </w:pPr>
      <w:r w:rsidRPr="0029260B">
        <w:rPr>
          <w:sz w:val="20"/>
          <w:szCs w:val="20"/>
          <w:lang w:eastAsia="en-AU"/>
        </w:rPr>
        <w:t>c)</w:t>
      </w:r>
      <w:r w:rsidRPr="0029260B">
        <w:rPr>
          <w:sz w:val="20"/>
          <w:szCs w:val="20"/>
          <w:lang w:eastAsia="en-AU"/>
        </w:rPr>
        <w:tab/>
        <w:t>adopting relevant effective mechanisms from other schemes (for example, the Therapeutic Goods Act 1989 Special Access Scheme) where they may strengthen the Scheme.</w:t>
      </w:r>
    </w:p>
    <w:p w14:paraId="0CB236DD" w14:textId="77777777" w:rsidR="00B05EA9" w:rsidRPr="0029260B" w:rsidRDefault="00B05EA9" w:rsidP="005B0D56">
      <w:pPr>
        <w:widowControl w:val="0"/>
        <w:tabs>
          <w:tab w:val="clear" w:pos="2092"/>
          <w:tab w:val="clear" w:pos="4076"/>
        </w:tabs>
        <w:autoSpaceDE/>
        <w:autoSpaceDN/>
        <w:adjustRightInd/>
        <w:spacing w:after="240"/>
        <w:ind w:right="939"/>
        <w:rPr>
          <w:sz w:val="20"/>
          <w:szCs w:val="20"/>
          <w:lang w:eastAsia="en-AU"/>
        </w:rPr>
      </w:pPr>
      <w:r w:rsidRPr="005B0D56">
        <w:rPr>
          <w:rStyle w:val="Strong"/>
        </w:rPr>
        <w:t>Recommendation 22:</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that further consideration be given to the most appropriate funding mechanisms to support the ongoing operation of the Scheme, and to appropriate funding levels for the Gene Technology Regulator’s activities, taking into account any changes to the Scheme.</w:t>
      </w:r>
    </w:p>
    <w:p w14:paraId="2BEF6220" w14:textId="77777777" w:rsidR="00B05EA9" w:rsidRPr="00B05EA9" w:rsidRDefault="00B05EA9" w:rsidP="0029260B">
      <w:pPr>
        <w:pStyle w:val="Heading2"/>
        <w:keepNext w:val="0"/>
        <w:ind w:left="0" w:right="941"/>
      </w:pPr>
      <w:bookmarkStart w:id="6" w:name="_Toc527672620"/>
      <w:r w:rsidRPr="00B05EA9">
        <w:t>Review Theme Four: Social and Ethical Issues</w:t>
      </w:r>
      <w:bookmarkEnd w:id="6"/>
    </w:p>
    <w:p w14:paraId="1994350D" w14:textId="77777777" w:rsidR="00B05EA9" w:rsidRPr="0029260B" w:rsidRDefault="00B05EA9" w:rsidP="0029260B">
      <w:pPr>
        <w:widowControl w:val="0"/>
        <w:tabs>
          <w:tab w:val="clear" w:pos="2092"/>
          <w:tab w:val="clear" w:pos="4076"/>
        </w:tabs>
        <w:autoSpaceDE/>
        <w:autoSpaceDN/>
        <w:adjustRightInd/>
        <w:spacing w:after="240"/>
        <w:ind w:right="941"/>
        <w:rPr>
          <w:sz w:val="20"/>
          <w:szCs w:val="20"/>
          <w:lang w:eastAsia="en-AU"/>
        </w:rPr>
      </w:pPr>
      <w:r w:rsidRPr="005B0D56">
        <w:rPr>
          <w:rStyle w:val="Strong"/>
        </w:rPr>
        <w:t>Recommendation 23:</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that targeted communications be developed to aid public understanding and confidence in the Gene Technology Scheme and identify the most appropriate body/bodies to deliver communications materials.</w:t>
      </w:r>
    </w:p>
    <w:p w14:paraId="65C3FBE0" w14:textId="77777777" w:rsidR="00B05EA9" w:rsidRPr="00B05EA9" w:rsidRDefault="00B05EA9" w:rsidP="005B0D56">
      <w:pPr>
        <w:widowControl w:val="0"/>
        <w:tabs>
          <w:tab w:val="clear" w:pos="2092"/>
          <w:tab w:val="clear" w:pos="4076"/>
        </w:tabs>
        <w:autoSpaceDE/>
        <w:autoSpaceDN/>
        <w:adjustRightInd/>
        <w:spacing w:after="240"/>
        <w:ind w:right="939"/>
        <w:rPr>
          <w:rFonts w:ascii="Arial" w:eastAsia="Courier New" w:hAnsi="Arial" w:cs="Courier New"/>
          <w:color w:val="auto"/>
          <w:sz w:val="20"/>
          <w:szCs w:val="24"/>
          <w:lang w:val="en-AU" w:eastAsia="en-IN"/>
        </w:rPr>
      </w:pPr>
      <w:r w:rsidRPr="005B0D56">
        <w:rPr>
          <w:rStyle w:val="Strong"/>
        </w:rPr>
        <w:t>Recommendation 24:</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that the Gene Technology Regulator continue to lead communication activities on topics related to the assessment of risk associated with gene technology.</w:t>
      </w:r>
    </w:p>
    <w:p w14:paraId="2AA2BD82" w14:textId="77777777" w:rsidR="00B05EA9" w:rsidRPr="0029260B" w:rsidRDefault="00B05EA9" w:rsidP="005B0D56">
      <w:pPr>
        <w:widowControl w:val="0"/>
        <w:tabs>
          <w:tab w:val="clear" w:pos="2092"/>
          <w:tab w:val="clear" w:pos="4076"/>
        </w:tabs>
        <w:autoSpaceDE/>
        <w:autoSpaceDN/>
        <w:adjustRightInd/>
        <w:spacing w:after="240"/>
        <w:ind w:right="939"/>
        <w:rPr>
          <w:sz w:val="20"/>
          <w:szCs w:val="20"/>
          <w:lang w:eastAsia="en-AU"/>
        </w:rPr>
      </w:pPr>
      <w:r w:rsidRPr="005B0D56">
        <w:rPr>
          <w:rStyle w:val="Strong"/>
        </w:rPr>
        <w:t>Recommendation 25</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that the Gene Technology Regulator continue to identify and manage the risks posed by, or as a result of, gene technology, and to increase transparency and understanding.</w:t>
      </w:r>
    </w:p>
    <w:p w14:paraId="404CE4BD" w14:textId="77777777" w:rsidR="00B05EA9" w:rsidRPr="0029260B" w:rsidRDefault="00B05EA9" w:rsidP="005B0D56">
      <w:pPr>
        <w:widowControl w:val="0"/>
        <w:tabs>
          <w:tab w:val="clear" w:pos="2092"/>
          <w:tab w:val="clear" w:pos="4076"/>
        </w:tabs>
        <w:autoSpaceDE/>
        <w:autoSpaceDN/>
        <w:adjustRightInd/>
        <w:spacing w:after="240"/>
        <w:ind w:right="939"/>
        <w:rPr>
          <w:sz w:val="20"/>
          <w:szCs w:val="20"/>
          <w:lang w:eastAsia="en-AU"/>
        </w:rPr>
      </w:pPr>
      <w:r w:rsidRPr="005B0D56">
        <w:rPr>
          <w:rStyle w:val="Strong"/>
        </w:rPr>
        <w:t>Recommendation 26</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a science-based review of monitoring arrangements to ensure that any post release risks continue to be appropriately managed.</w:t>
      </w:r>
    </w:p>
    <w:p w14:paraId="18283F4B" w14:textId="6A936C48" w:rsidR="002654BC" w:rsidRPr="0029260B" w:rsidRDefault="00B05EA9" w:rsidP="005B0D56">
      <w:pPr>
        <w:widowControl w:val="0"/>
        <w:tabs>
          <w:tab w:val="clear" w:pos="2092"/>
          <w:tab w:val="clear" w:pos="4076"/>
        </w:tabs>
        <w:autoSpaceDE/>
        <w:autoSpaceDN/>
        <w:adjustRightInd/>
        <w:spacing w:after="240"/>
        <w:ind w:right="939"/>
        <w:rPr>
          <w:sz w:val="20"/>
          <w:szCs w:val="20"/>
          <w:lang w:eastAsia="en-AU"/>
        </w:rPr>
      </w:pPr>
      <w:r w:rsidRPr="005B0D56">
        <w:rPr>
          <w:rStyle w:val="Strong"/>
        </w:rPr>
        <w:t>Recommendation 27</w:t>
      </w:r>
      <w:r w:rsidRPr="00B05EA9">
        <w:rPr>
          <w:rFonts w:ascii="Arial" w:eastAsia="Courier New" w:hAnsi="Arial" w:cs="Courier New"/>
          <w:color w:val="auto"/>
          <w:sz w:val="20"/>
          <w:szCs w:val="24"/>
          <w:lang w:val="en-AU" w:eastAsia="en-IN"/>
        </w:rPr>
        <w:t xml:space="preserve">: </w:t>
      </w:r>
      <w:r w:rsidRPr="0029260B">
        <w:rPr>
          <w:sz w:val="20"/>
          <w:szCs w:val="20"/>
          <w:lang w:eastAsia="en-AU"/>
        </w:rPr>
        <w:t>The Review recommends that the Gene Technology Regulator continue to make relevant information publicly available, to maintain a high level of transparency within the Scheme.</w:t>
      </w:r>
    </w:p>
    <w:sectPr w:rsidR="002654BC" w:rsidRPr="0029260B" w:rsidSect="003F6986">
      <w:type w:val="continuous"/>
      <w:pgSz w:w="11906" w:h="16838" w:code="9"/>
      <w:pgMar w:top="1529" w:right="425"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B8BF5" w14:textId="77777777" w:rsidR="00FB741D" w:rsidRDefault="00FB741D" w:rsidP="00850D97">
      <w:r>
        <w:separator/>
      </w:r>
    </w:p>
  </w:endnote>
  <w:endnote w:type="continuationSeparator" w:id="0">
    <w:p w14:paraId="0386A42E" w14:textId="77777777" w:rsidR="00FB741D" w:rsidRDefault="00FB741D" w:rsidP="0085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LT Std">
    <w:altName w:val="Arial"/>
    <w:panose1 w:val="00000000000000000000"/>
    <w:charset w:val="4D"/>
    <w:family w:val="swiss"/>
    <w:notTrueType/>
    <w:pitch w:val="variable"/>
    <w:sig w:usb0="00000001" w:usb1="00000000" w:usb2="00000000" w:usb3="00000000" w:csb0="00000005"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Light">
    <w:altName w:val="Arial"/>
    <w:panose1 w:val="00000000000000000000"/>
    <w:charset w:val="4D"/>
    <w:family w:val="swiss"/>
    <w:notTrueType/>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0010791"/>
      <w:docPartObj>
        <w:docPartGallery w:val="Page Numbers (Bottom of Page)"/>
        <w:docPartUnique/>
      </w:docPartObj>
    </w:sdtPr>
    <w:sdtEndPr>
      <w:rPr>
        <w:noProof/>
      </w:rPr>
    </w:sdtEndPr>
    <w:sdtContent>
      <w:p w14:paraId="67AC28B8" w14:textId="08AB05B0" w:rsidR="00527D4A" w:rsidRDefault="00527D4A">
        <w:pPr>
          <w:pStyle w:val="Footer"/>
          <w:jc w:val="right"/>
        </w:pPr>
        <w:r>
          <w:fldChar w:fldCharType="begin"/>
        </w:r>
        <w:r>
          <w:instrText xml:space="preserve"> PAGE   \* MERGEFORMAT </w:instrText>
        </w:r>
        <w:r>
          <w:fldChar w:fldCharType="separate"/>
        </w:r>
        <w:r w:rsidR="0066300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33DE2" w14:textId="77777777" w:rsidR="00FB741D" w:rsidRDefault="00FB741D" w:rsidP="00850D97">
      <w:r>
        <w:separator/>
      </w:r>
    </w:p>
  </w:footnote>
  <w:footnote w:type="continuationSeparator" w:id="0">
    <w:p w14:paraId="0D0B0CE6" w14:textId="77777777" w:rsidR="00FB741D" w:rsidRDefault="00FB741D" w:rsidP="00850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26537C"/>
    <w:multiLevelType w:val="hybridMultilevel"/>
    <w:tmpl w:val="4F045A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136DCA"/>
    <w:multiLevelType w:val="hybridMultilevel"/>
    <w:tmpl w:val="61F21572"/>
    <w:lvl w:ilvl="0" w:tplc="41945E1A">
      <w:start w:val="1"/>
      <w:numFmt w:val="lowerLetter"/>
      <w:lvlText w:val="%1)"/>
      <w:lvlJc w:val="left"/>
      <w:pPr>
        <w:ind w:left="720" w:hanging="360"/>
      </w:pPr>
      <w:rPr>
        <w:rFonts w:ascii="Helvetica LT Std" w:hAnsi="Helvetica LT Std" w:cs="Helvetica LT Std" w:hint="default"/>
        <w:b/>
        <w:color w:val="00509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C516E"/>
    <w:multiLevelType w:val="hybridMultilevel"/>
    <w:tmpl w:val="73DAD4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B966F1F"/>
    <w:multiLevelType w:val="hybridMultilevel"/>
    <w:tmpl w:val="DC66E0F0"/>
    <w:lvl w:ilvl="0" w:tplc="193EE188">
      <w:start w:val="1"/>
      <w:numFmt w:val="lowerLetter"/>
      <w:lvlText w:val="%1)"/>
      <w:lvlJc w:val="left"/>
      <w:pPr>
        <w:ind w:left="360" w:hanging="360"/>
      </w:pPr>
      <w:rPr>
        <w:rFonts w:ascii="Helvetica LT Std" w:hAnsi="Helvetica LT Std" w:cs="Helvetica LT Std" w:hint="default"/>
        <w:b/>
        <w:color w:val="00509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8D2C7F"/>
    <w:multiLevelType w:val="hybridMultilevel"/>
    <w:tmpl w:val="8A5EC1F0"/>
    <w:lvl w:ilvl="0" w:tplc="04090001">
      <w:start w:val="1"/>
      <w:numFmt w:val="bullet"/>
      <w:lvlText w:val=""/>
      <w:lvlJc w:val="left"/>
      <w:pPr>
        <w:ind w:left="468" w:hanging="360"/>
      </w:pPr>
      <w:rPr>
        <w:rFonts w:ascii="Symbol" w:hAnsi="Symbol" w:hint="default"/>
      </w:rPr>
    </w:lvl>
    <w:lvl w:ilvl="1" w:tplc="04090003">
      <w:start w:val="1"/>
      <w:numFmt w:val="bullet"/>
      <w:lvlText w:val="o"/>
      <w:lvlJc w:val="left"/>
      <w:pPr>
        <w:ind w:left="1188" w:hanging="360"/>
      </w:pPr>
      <w:rPr>
        <w:rFonts w:ascii="Courier New" w:hAnsi="Courier New" w:cs="Courier New" w:hint="default"/>
      </w:rPr>
    </w:lvl>
    <w:lvl w:ilvl="2" w:tplc="04090005">
      <w:start w:val="1"/>
      <w:numFmt w:val="bullet"/>
      <w:lvlText w:val=""/>
      <w:lvlJc w:val="left"/>
      <w:pPr>
        <w:ind w:left="1908" w:hanging="360"/>
      </w:pPr>
      <w:rPr>
        <w:rFonts w:ascii="Wingdings" w:hAnsi="Wingdings" w:hint="default"/>
      </w:rPr>
    </w:lvl>
    <w:lvl w:ilvl="3" w:tplc="04090001">
      <w:start w:val="1"/>
      <w:numFmt w:val="bullet"/>
      <w:lvlText w:val=""/>
      <w:lvlJc w:val="left"/>
      <w:pPr>
        <w:ind w:left="2628" w:hanging="360"/>
      </w:pPr>
      <w:rPr>
        <w:rFonts w:ascii="Symbol" w:hAnsi="Symbol" w:hint="default"/>
      </w:rPr>
    </w:lvl>
    <w:lvl w:ilvl="4" w:tplc="04090003">
      <w:start w:val="1"/>
      <w:numFmt w:val="bullet"/>
      <w:lvlText w:val="o"/>
      <w:lvlJc w:val="left"/>
      <w:pPr>
        <w:ind w:left="3348" w:hanging="360"/>
      </w:pPr>
      <w:rPr>
        <w:rFonts w:ascii="Courier New" w:hAnsi="Courier New" w:cs="Courier New" w:hint="default"/>
      </w:rPr>
    </w:lvl>
    <w:lvl w:ilvl="5" w:tplc="04090005">
      <w:start w:val="1"/>
      <w:numFmt w:val="bullet"/>
      <w:lvlText w:val=""/>
      <w:lvlJc w:val="left"/>
      <w:pPr>
        <w:ind w:left="4068" w:hanging="360"/>
      </w:pPr>
      <w:rPr>
        <w:rFonts w:ascii="Wingdings" w:hAnsi="Wingdings" w:hint="default"/>
      </w:rPr>
    </w:lvl>
    <w:lvl w:ilvl="6" w:tplc="0409000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2F5878BA"/>
    <w:multiLevelType w:val="hybridMultilevel"/>
    <w:tmpl w:val="B2E474E4"/>
    <w:lvl w:ilvl="0" w:tplc="41945E1A">
      <w:start w:val="1"/>
      <w:numFmt w:val="lowerLetter"/>
      <w:lvlText w:val="%1)"/>
      <w:lvlJc w:val="left"/>
      <w:pPr>
        <w:ind w:left="360" w:hanging="360"/>
      </w:pPr>
      <w:rPr>
        <w:rFonts w:ascii="Helvetica LT Std" w:hAnsi="Helvetica LT Std" w:cs="Helvetica LT Std" w:hint="default"/>
        <w:b/>
        <w:color w:val="00509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E61DC"/>
    <w:multiLevelType w:val="hybridMultilevel"/>
    <w:tmpl w:val="61F21572"/>
    <w:lvl w:ilvl="0" w:tplc="41945E1A">
      <w:start w:val="1"/>
      <w:numFmt w:val="lowerLetter"/>
      <w:lvlText w:val="%1)"/>
      <w:lvlJc w:val="left"/>
      <w:pPr>
        <w:ind w:left="720" w:hanging="360"/>
      </w:pPr>
      <w:rPr>
        <w:rFonts w:ascii="Helvetica LT Std" w:hAnsi="Helvetica LT Std" w:cs="Helvetica LT Std" w:hint="default"/>
        <w:b/>
        <w:color w:val="00509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178F4"/>
    <w:multiLevelType w:val="hybridMultilevel"/>
    <w:tmpl w:val="DCD2E1DC"/>
    <w:lvl w:ilvl="0" w:tplc="8C3A3334">
      <w:start w:val="1"/>
      <w:numFmt w:val="lowerLetter"/>
      <w:lvlText w:val="%1)"/>
      <w:lvlJc w:val="left"/>
      <w:pPr>
        <w:ind w:left="360" w:hanging="360"/>
      </w:pPr>
      <w:rPr>
        <w:rFonts w:ascii="Helvetica LT Std" w:hAnsi="Helvetica LT Std" w:cs="Helvetica LT Std" w:hint="default"/>
        <w:b/>
        <w:color w:val="00509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F3380D"/>
    <w:multiLevelType w:val="hybridMultilevel"/>
    <w:tmpl w:val="F5A8CECA"/>
    <w:lvl w:ilvl="0" w:tplc="47866A4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CB68C8"/>
    <w:multiLevelType w:val="hybridMultilevel"/>
    <w:tmpl w:val="4142D9A8"/>
    <w:lvl w:ilvl="0" w:tplc="47866A4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CD098D"/>
    <w:multiLevelType w:val="hybridMultilevel"/>
    <w:tmpl w:val="5D749BA4"/>
    <w:lvl w:ilvl="0" w:tplc="E2F09494">
      <w:start w:val="1"/>
      <w:numFmt w:val="lowerLetter"/>
      <w:lvlText w:val="%1)"/>
      <w:lvlJc w:val="left"/>
      <w:pPr>
        <w:ind w:left="360" w:hanging="360"/>
      </w:pPr>
      <w:rPr>
        <w:rFonts w:ascii="Helvetica LT Std" w:hAnsi="Helvetica LT Std" w:cs="Helvetica LT Std" w:hint="default"/>
        <w:b/>
        <w:color w:val="00509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BC43AA"/>
    <w:multiLevelType w:val="hybridMultilevel"/>
    <w:tmpl w:val="40EE7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4D27EA"/>
    <w:multiLevelType w:val="hybridMultilevel"/>
    <w:tmpl w:val="D6C49524"/>
    <w:lvl w:ilvl="0" w:tplc="8D44F71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DB3669"/>
    <w:multiLevelType w:val="hybridMultilevel"/>
    <w:tmpl w:val="3954D050"/>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
  </w:num>
  <w:num w:numId="3">
    <w:abstractNumId w:val="6"/>
  </w:num>
  <w:num w:numId="4">
    <w:abstractNumId w:val="7"/>
  </w:num>
  <w:num w:numId="5">
    <w:abstractNumId w:val="0"/>
  </w:num>
  <w:num w:numId="6">
    <w:abstractNumId w:val="10"/>
  </w:num>
  <w:num w:numId="7">
    <w:abstractNumId w:val="13"/>
  </w:num>
  <w:num w:numId="8">
    <w:abstractNumId w:val="1"/>
  </w:num>
  <w:num w:numId="9">
    <w:abstractNumId w:val="5"/>
  </w:num>
  <w:num w:numId="10">
    <w:abstractNumId w:val="2"/>
  </w:num>
  <w:num w:numId="11">
    <w:abstractNumId w:val="11"/>
  </w:num>
  <w:num w:numId="12">
    <w:abstractNumId w:val="1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F1"/>
    <w:rsid w:val="00012B04"/>
    <w:rsid w:val="00013C8E"/>
    <w:rsid w:val="00023400"/>
    <w:rsid w:val="00024301"/>
    <w:rsid w:val="000606DF"/>
    <w:rsid w:val="000779DE"/>
    <w:rsid w:val="00082019"/>
    <w:rsid w:val="00082197"/>
    <w:rsid w:val="00094DF7"/>
    <w:rsid w:val="000A62B8"/>
    <w:rsid w:val="000C0430"/>
    <w:rsid w:val="000F2F07"/>
    <w:rsid w:val="000F342C"/>
    <w:rsid w:val="0013022B"/>
    <w:rsid w:val="0013143A"/>
    <w:rsid w:val="00131A67"/>
    <w:rsid w:val="001644BC"/>
    <w:rsid w:val="0016528A"/>
    <w:rsid w:val="00170A4D"/>
    <w:rsid w:val="001868F9"/>
    <w:rsid w:val="00191A2E"/>
    <w:rsid w:val="001A1829"/>
    <w:rsid w:val="001A3588"/>
    <w:rsid w:val="001A5DC3"/>
    <w:rsid w:val="001A73BC"/>
    <w:rsid w:val="001B08D8"/>
    <w:rsid w:val="001D5938"/>
    <w:rsid w:val="001E6072"/>
    <w:rsid w:val="001F0BDE"/>
    <w:rsid w:val="001F5C4D"/>
    <w:rsid w:val="002048B8"/>
    <w:rsid w:val="00207C5F"/>
    <w:rsid w:val="00214FAD"/>
    <w:rsid w:val="00221683"/>
    <w:rsid w:val="00235197"/>
    <w:rsid w:val="00236B2F"/>
    <w:rsid w:val="00241E34"/>
    <w:rsid w:val="00247840"/>
    <w:rsid w:val="00254849"/>
    <w:rsid w:val="002654BC"/>
    <w:rsid w:val="0028252F"/>
    <w:rsid w:val="0029260B"/>
    <w:rsid w:val="002B5EB5"/>
    <w:rsid w:val="002B68BA"/>
    <w:rsid w:val="002C135F"/>
    <w:rsid w:val="002C1EA7"/>
    <w:rsid w:val="002D4AA5"/>
    <w:rsid w:val="002F1F7C"/>
    <w:rsid w:val="002F6E6B"/>
    <w:rsid w:val="00314034"/>
    <w:rsid w:val="003419FE"/>
    <w:rsid w:val="00377AF7"/>
    <w:rsid w:val="003A65F6"/>
    <w:rsid w:val="003B5E82"/>
    <w:rsid w:val="003D0A75"/>
    <w:rsid w:val="003E2B59"/>
    <w:rsid w:val="003F12E8"/>
    <w:rsid w:val="003F2F3B"/>
    <w:rsid w:val="003F6986"/>
    <w:rsid w:val="0042048A"/>
    <w:rsid w:val="00430536"/>
    <w:rsid w:val="00433EF1"/>
    <w:rsid w:val="00463603"/>
    <w:rsid w:val="00464302"/>
    <w:rsid w:val="00464323"/>
    <w:rsid w:val="00467DCD"/>
    <w:rsid w:val="004A6666"/>
    <w:rsid w:val="004D3011"/>
    <w:rsid w:val="004D7EEA"/>
    <w:rsid w:val="004F24B6"/>
    <w:rsid w:val="005114F9"/>
    <w:rsid w:val="00511AC5"/>
    <w:rsid w:val="00513BC6"/>
    <w:rsid w:val="00520EBC"/>
    <w:rsid w:val="00527D4A"/>
    <w:rsid w:val="0057078D"/>
    <w:rsid w:val="00584AA6"/>
    <w:rsid w:val="005964B6"/>
    <w:rsid w:val="005A10F0"/>
    <w:rsid w:val="005A1FA5"/>
    <w:rsid w:val="005A5E04"/>
    <w:rsid w:val="005B0D56"/>
    <w:rsid w:val="005B6C33"/>
    <w:rsid w:val="005C181B"/>
    <w:rsid w:val="005C6EA6"/>
    <w:rsid w:val="005D14E8"/>
    <w:rsid w:val="005D5171"/>
    <w:rsid w:val="005E5E34"/>
    <w:rsid w:val="005E67F1"/>
    <w:rsid w:val="005F2D72"/>
    <w:rsid w:val="005F4606"/>
    <w:rsid w:val="00603D51"/>
    <w:rsid w:val="00605D4B"/>
    <w:rsid w:val="0062515F"/>
    <w:rsid w:val="00647352"/>
    <w:rsid w:val="00657836"/>
    <w:rsid w:val="00663009"/>
    <w:rsid w:val="00667E1C"/>
    <w:rsid w:val="006B3461"/>
    <w:rsid w:val="006C7478"/>
    <w:rsid w:val="006C7921"/>
    <w:rsid w:val="006F6829"/>
    <w:rsid w:val="00717576"/>
    <w:rsid w:val="0072068C"/>
    <w:rsid w:val="007328F0"/>
    <w:rsid w:val="00732DEA"/>
    <w:rsid w:val="007463F6"/>
    <w:rsid w:val="007473DF"/>
    <w:rsid w:val="00772D7F"/>
    <w:rsid w:val="007803B1"/>
    <w:rsid w:val="007A2B11"/>
    <w:rsid w:val="007A5D90"/>
    <w:rsid w:val="007A7CE9"/>
    <w:rsid w:val="007B5CF9"/>
    <w:rsid w:val="007C5ED7"/>
    <w:rsid w:val="007F11D5"/>
    <w:rsid w:val="007F1F59"/>
    <w:rsid w:val="008100F0"/>
    <w:rsid w:val="00821475"/>
    <w:rsid w:val="008357EF"/>
    <w:rsid w:val="008408D8"/>
    <w:rsid w:val="00850D97"/>
    <w:rsid w:val="00875A8C"/>
    <w:rsid w:val="008A6C72"/>
    <w:rsid w:val="008C423A"/>
    <w:rsid w:val="008C44BF"/>
    <w:rsid w:val="008D4E19"/>
    <w:rsid w:val="008D6AA6"/>
    <w:rsid w:val="008D7134"/>
    <w:rsid w:val="008F3754"/>
    <w:rsid w:val="00921F38"/>
    <w:rsid w:val="009325A5"/>
    <w:rsid w:val="009431CE"/>
    <w:rsid w:val="00953A0E"/>
    <w:rsid w:val="0095595E"/>
    <w:rsid w:val="00967ECD"/>
    <w:rsid w:val="00970F08"/>
    <w:rsid w:val="009742CF"/>
    <w:rsid w:val="00990F5D"/>
    <w:rsid w:val="009A7DCA"/>
    <w:rsid w:val="009C09B9"/>
    <w:rsid w:val="009C1B37"/>
    <w:rsid w:val="009C582C"/>
    <w:rsid w:val="009D408B"/>
    <w:rsid w:val="009D7F97"/>
    <w:rsid w:val="009E7A74"/>
    <w:rsid w:val="009F1E47"/>
    <w:rsid w:val="009F41D7"/>
    <w:rsid w:val="00A0668E"/>
    <w:rsid w:val="00A246B8"/>
    <w:rsid w:val="00A73DF1"/>
    <w:rsid w:val="00A75BFA"/>
    <w:rsid w:val="00A84A49"/>
    <w:rsid w:val="00A93674"/>
    <w:rsid w:val="00AC168F"/>
    <w:rsid w:val="00AF0006"/>
    <w:rsid w:val="00AF033C"/>
    <w:rsid w:val="00AF16EC"/>
    <w:rsid w:val="00AF7065"/>
    <w:rsid w:val="00B01B36"/>
    <w:rsid w:val="00B04DBF"/>
    <w:rsid w:val="00B05896"/>
    <w:rsid w:val="00B05EA9"/>
    <w:rsid w:val="00B20937"/>
    <w:rsid w:val="00B269D9"/>
    <w:rsid w:val="00B30884"/>
    <w:rsid w:val="00B3190F"/>
    <w:rsid w:val="00B37E1F"/>
    <w:rsid w:val="00B54247"/>
    <w:rsid w:val="00B753F1"/>
    <w:rsid w:val="00B756DD"/>
    <w:rsid w:val="00B96DEC"/>
    <w:rsid w:val="00B96F2D"/>
    <w:rsid w:val="00BB2DD2"/>
    <w:rsid w:val="00BD5BA9"/>
    <w:rsid w:val="00C157A8"/>
    <w:rsid w:val="00C2047A"/>
    <w:rsid w:val="00C330B8"/>
    <w:rsid w:val="00C4276F"/>
    <w:rsid w:val="00C42EC9"/>
    <w:rsid w:val="00C444CE"/>
    <w:rsid w:val="00C45679"/>
    <w:rsid w:val="00C53D62"/>
    <w:rsid w:val="00C70600"/>
    <w:rsid w:val="00C83CF7"/>
    <w:rsid w:val="00C8501D"/>
    <w:rsid w:val="00C938DA"/>
    <w:rsid w:val="00CB1CDA"/>
    <w:rsid w:val="00CB694E"/>
    <w:rsid w:val="00CB7388"/>
    <w:rsid w:val="00CD3D9E"/>
    <w:rsid w:val="00CE79D6"/>
    <w:rsid w:val="00D1391C"/>
    <w:rsid w:val="00D24609"/>
    <w:rsid w:val="00D3239E"/>
    <w:rsid w:val="00D3773C"/>
    <w:rsid w:val="00D47AA5"/>
    <w:rsid w:val="00DB229D"/>
    <w:rsid w:val="00DC29D0"/>
    <w:rsid w:val="00DD382A"/>
    <w:rsid w:val="00DD3C0A"/>
    <w:rsid w:val="00DE45B0"/>
    <w:rsid w:val="00DE6D17"/>
    <w:rsid w:val="00DF48C7"/>
    <w:rsid w:val="00DF58E9"/>
    <w:rsid w:val="00E208FE"/>
    <w:rsid w:val="00E63057"/>
    <w:rsid w:val="00E73A86"/>
    <w:rsid w:val="00E90245"/>
    <w:rsid w:val="00EB3D6B"/>
    <w:rsid w:val="00ED5F61"/>
    <w:rsid w:val="00EF0F3A"/>
    <w:rsid w:val="00F10984"/>
    <w:rsid w:val="00F3268F"/>
    <w:rsid w:val="00F42E00"/>
    <w:rsid w:val="00F4542E"/>
    <w:rsid w:val="00F53206"/>
    <w:rsid w:val="00F57D40"/>
    <w:rsid w:val="00F630CE"/>
    <w:rsid w:val="00F67B1A"/>
    <w:rsid w:val="00F707DB"/>
    <w:rsid w:val="00F7288D"/>
    <w:rsid w:val="00F808F8"/>
    <w:rsid w:val="00F91E70"/>
    <w:rsid w:val="00F920CE"/>
    <w:rsid w:val="00FA4F9E"/>
    <w:rsid w:val="00FB1F8A"/>
    <w:rsid w:val="00FB5C8D"/>
    <w:rsid w:val="00FB741D"/>
    <w:rsid w:val="00FC33A7"/>
    <w:rsid w:val="00FC717A"/>
    <w:rsid w:val="00FD457D"/>
    <w:rsid w:val="1FAEE216"/>
    <w:rsid w:val="292A6D19"/>
    <w:rsid w:val="4C18A258"/>
    <w:rsid w:val="77E056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0460A63"/>
  <w15:docId w15:val="{373DCE45-17C7-4AB4-927A-C83A9B99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CE"/>
    <w:pPr>
      <w:tabs>
        <w:tab w:val="left" w:pos="2092"/>
        <w:tab w:val="left" w:pos="4076"/>
      </w:tabs>
      <w:autoSpaceDE w:val="0"/>
      <w:autoSpaceDN w:val="0"/>
      <w:adjustRightInd w:val="0"/>
      <w:spacing w:before="120" w:after="120"/>
    </w:pPr>
    <w:rPr>
      <w:rFonts w:ascii="Helvetica LT Std Light" w:hAnsi="Helvetica LT Std Light" w:cs="Helvetica LT Std Light"/>
      <w:color w:val="000000"/>
      <w:sz w:val="22"/>
      <w:szCs w:val="18"/>
      <w:lang w:val="en-US"/>
    </w:rPr>
  </w:style>
  <w:style w:type="paragraph" w:styleId="Heading1">
    <w:name w:val="heading 1"/>
    <w:basedOn w:val="Normal"/>
    <w:next w:val="Normal"/>
    <w:link w:val="Heading1Char"/>
    <w:uiPriority w:val="9"/>
    <w:qFormat/>
    <w:rsid w:val="00C70600"/>
    <w:pPr>
      <w:keepNext/>
      <w:widowControl w:val="0"/>
      <w:tabs>
        <w:tab w:val="clear" w:pos="2092"/>
        <w:tab w:val="clear" w:pos="4076"/>
      </w:tabs>
      <w:autoSpaceDE/>
      <w:autoSpaceDN/>
      <w:adjustRightInd/>
      <w:spacing w:after="240"/>
      <w:outlineLvl w:val="0"/>
    </w:pPr>
    <w:rPr>
      <w:rFonts w:asciiTheme="minorHAnsi" w:hAnsiTheme="minorHAnsi" w:cstheme="minorHAnsi"/>
      <w:b/>
      <w:bCs/>
      <w:sz w:val="36"/>
      <w:szCs w:val="36"/>
    </w:rPr>
  </w:style>
  <w:style w:type="paragraph" w:styleId="Heading2">
    <w:name w:val="heading 2"/>
    <w:basedOn w:val="Normal"/>
    <w:next w:val="Normal"/>
    <w:link w:val="Heading2Char"/>
    <w:uiPriority w:val="9"/>
    <w:unhideWhenUsed/>
    <w:qFormat/>
    <w:rsid w:val="00C70600"/>
    <w:pPr>
      <w:keepNext/>
      <w:widowControl w:val="0"/>
      <w:tabs>
        <w:tab w:val="clear" w:pos="2092"/>
        <w:tab w:val="clear" w:pos="4076"/>
      </w:tabs>
      <w:autoSpaceDE/>
      <w:autoSpaceDN/>
      <w:adjustRightInd/>
      <w:spacing w:after="240"/>
      <w:ind w:left="851" w:right="939"/>
      <w:outlineLvl w:val="1"/>
    </w:pPr>
    <w:rPr>
      <w:rFonts w:ascii="Arial Bold" w:eastAsiaTheme="majorEastAsia" w:hAnsi="Arial Bold" w:cstheme="majorBidi"/>
      <w:b/>
      <w:bCs/>
      <w:iCs/>
      <w:color w:val="auto"/>
      <w:sz w:val="28"/>
      <w:szCs w:val="28"/>
      <w:lang w:val="en-AU" w:eastAsia="en-IN"/>
    </w:rPr>
  </w:style>
  <w:style w:type="paragraph" w:styleId="Heading3">
    <w:name w:val="heading 3"/>
    <w:basedOn w:val="Normal"/>
    <w:next w:val="Normal"/>
    <w:link w:val="Heading3Char"/>
    <w:uiPriority w:val="9"/>
    <w:unhideWhenUsed/>
    <w:qFormat/>
    <w:rsid w:val="00241E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53F1"/>
    <w:pPr>
      <w:autoSpaceDE w:val="0"/>
      <w:autoSpaceDN w:val="0"/>
      <w:adjustRightInd w:val="0"/>
    </w:pPr>
    <w:rPr>
      <w:rFonts w:ascii="Helvetica LT Std" w:hAnsi="Helvetica LT Std" w:cs="Helvetica LT Std"/>
      <w:color w:val="000000"/>
      <w:lang w:val="en-US"/>
    </w:rPr>
  </w:style>
  <w:style w:type="character" w:customStyle="1" w:styleId="A0">
    <w:name w:val="A0"/>
    <w:uiPriority w:val="99"/>
    <w:rsid w:val="00B753F1"/>
    <w:rPr>
      <w:rFonts w:cs="Helvetica LT Std"/>
      <w:b/>
      <w:bCs/>
      <w:color w:val="008574"/>
      <w:sz w:val="65"/>
      <w:szCs w:val="65"/>
    </w:rPr>
  </w:style>
  <w:style w:type="paragraph" w:customStyle="1" w:styleId="Pa4">
    <w:name w:val="Pa4"/>
    <w:basedOn w:val="Default"/>
    <w:next w:val="Default"/>
    <w:uiPriority w:val="99"/>
    <w:rsid w:val="00B753F1"/>
    <w:pPr>
      <w:spacing w:line="181" w:lineRule="atLeast"/>
    </w:pPr>
    <w:rPr>
      <w:rFonts w:cstheme="minorBidi"/>
      <w:color w:val="auto"/>
    </w:rPr>
  </w:style>
  <w:style w:type="paragraph" w:customStyle="1" w:styleId="Pa2">
    <w:name w:val="Pa2"/>
    <w:basedOn w:val="Default"/>
    <w:next w:val="Default"/>
    <w:uiPriority w:val="99"/>
    <w:rsid w:val="00B753F1"/>
    <w:pPr>
      <w:spacing w:line="241" w:lineRule="atLeast"/>
    </w:pPr>
    <w:rPr>
      <w:rFonts w:cstheme="minorBidi"/>
      <w:color w:val="auto"/>
    </w:rPr>
  </w:style>
  <w:style w:type="paragraph" w:customStyle="1" w:styleId="Pa3">
    <w:name w:val="Pa3"/>
    <w:basedOn w:val="Default"/>
    <w:next w:val="Default"/>
    <w:uiPriority w:val="99"/>
    <w:rsid w:val="00B753F1"/>
    <w:pPr>
      <w:spacing w:line="241" w:lineRule="atLeast"/>
    </w:pPr>
    <w:rPr>
      <w:rFonts w:cstheme="minorBidi"/>
      <w:color w:val="auto"/>
    </w:rPr>
  </w:style>
  <w:style w:type="paragraph" w:customStyle="1" w:styleId="Pa5">
    <w:name w:val="Pa5"/>
    <w:basedOn w:val="Default"/>
    <w:next w:val="Default"/>
    <w:uiPriority w:val="99"/>
    <w:rsid w:val="00B753F1"/>
    <w:pPr>
      <w:spacing w:line="181" w:lineRule="atLeast"/>
    </w:pPr>
    <w:rPr>
      <w:rFonts w:cstheme="minorBidi"/>
      <w:color w:val="auto"/>
    </w:rPr>
  </w:style>
  <w:style w:type="paragraph" w:customStyle="1" w:styleId="Pa6">
    <w:name w:val="Pa6"/>
    <w:basedOn w:val="Default"/>
    <w:next w:val="Default"/>
    <w:uiPriority w:val="99"/>
    <w:rsid w:val="00B753F1"/>
    <w:pPr>
      <w:spacing w:line="181" w:lineRule="atLeast"/>
    </w:pPr>
    <w:rPr>
      <w:rFonts w:cstheme="minorBidi"/>
      <w:color w:val="auto"/>
    </w:rPr>
  </w:style>
  <w:style w:type="table" w:customStyle="1" w:styleId="PlainTable21">
    <w:name w:val="Plain Table 21"/>
    <w:basedOn w:val="TableNormal"/>
    <w:uiPriority w:val="42"/>
    <w:rsid w:val="00B753F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753F1"/>
    <w:pPr>
      <w:tabs>
        <w:tab w:val="center" w:pos="4680"/>
        <w:tab w:val="right" w:pos="9360"/>
      </w:tabs>
    </w:pPr>
  </w:style>
  <w:style w:type="character" w:customStyle="1" w:styleId="HeaderChar">
    <w:name w:val="Header Char"/>
    <w:basedOn w:val="DefaultParagraphFont"/>
    <w:link w:val="Header"/>
    <w:uiPriority w:val="99"/>
    <w:rsid w:val="00B753F1"/>
  </w:style>
  <w:style w:type="paragraph" w:styleId="Footer">
    <w:name w:val="footer"/>
    <w:basedOn w:val="Normal"/>
    <w:link w:val="FooterChar"/>
    <w:uiPriority w:val="99"/>
    <w:unhideWhenUsed/>
    <w:rsid w:val="00B753F1"/>
    <w:pPr>
      <w:tabs>
        <w:tab w:val="center" w:pos="4680"/>
        <w:tab w:val="right" w:pos="9360"/>
      </w:tabs>
    </w:pPr>
  </w:style>
  <w:style w:type="character" w:customStyle="1" w:styleId="FooterChar">
    <w:name w:val="Footer Char"/>
    <w:basedOn w:val="DefaultParagraphFont"/>
    <w:link w:val="Footer"/>
    <w:uiPriority w:val="99"/>
    <w:rsid w:val="00B753F1"/>
  </w:style>
  <w:style w:type="table" w:styleId="TableGrid">
    <w:name w:val="Table Grid"/>
    <w:basedOn w:val="TableNormal"/>
    <w:uiPriority w:val="39"/>
    <w:rsid w:val="00C8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sz w:val="22"/>
      </w:rPr>
      <w:tblPr/>
      <w:tcPr>
        <w:shd w:val="clear" w:color="auto" w:fill="000000" w:themeFill="text1"/>
      </w:tcPr>
    </w:tblStylePr>
    <w:tblStylePr w:type="firstCol">
      <w:rPr>
        <w:rFonts w:asciiTheme="minorHAnsi" w:hAnsiTheme="minorHAnsi"/>
        <w:b/>
        <w:color w:val="auto"/>
        <w:sz w:val="22"/>
      </w:rPr>
    </w:tblStylePr>
  </w:style>
  <w:style w:type="paragraph" w:styleId="ListParagraph">
    <w:name w:val="List Paragraph"/>
    <w:basedOn w:val="Normal"/>
    <w:uiPriority w:val="34"/>
    <w:qFormat/>
    <w:rsid w:val="00B753F1"/>
    <w:pPr>
      <w:ind w:left="720"/>
      <w:contextualSpacing/>
    </w:pPr>
  </w:style>
  <w:style w:type="paragraph" w:styleId="BalloonText">
    <w:name w:val="Balloon Text"/>
    <w:basedOn w:val="Normal"/>
    <w:link w:val="BalloonTextChar"/>
    <w:uiPriority w:val="99"/>
    <w:semiHidden/>
    <w:unhideWhenUsed/>
    <w:rsid w:val="00850D97"/>
    <w:pPr>
      <w:spacing w:after="0"/>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850D97"/>
    <w:rPr>
      <w:rFonts w:ascii="Times New Roman" w:hAnsi="Times New Roman" w:cs="Times New Roman"/>
      <w:color w:val="000000"/>
      <w:sz w:val="18"/>
      <w:szCs w:val="18"/>
      <w:lang w:val="en-US"/>
    </w:rPr>
  </w:style>
  <w:style w:type="paragraph" w:customStyle="1" w:styleId="Pa12">
    <w:name w:val="Pa12"/>
    <w:basedOn w:val="Default"/>
    <w:next w:val="Default"/>
    <w:uiPriority w:val="99"/>
    <w:rsid w:val="001644BC"/>
    <w:pPr>
      <w:spacing w:line="181" w:lineRule="atLeast"/>
    </w:pPr>
    <w:rPr>
      <w:rFonts w:cstheme="minorBidi"/>
      <w:color w:val="auto"/>
    </w:rPr>
  </w:style>
  <w:style w:type="character" w:customStyle="1" w:styleId="Heading1Char">
    <w:name w:val="Heading 1 Char"/>
    <w:basedOn w:val="DefaultParagraphFont"/>
    <w:link w:val="Heading1"/>
    <w:uiPriority w:val="9"/>
    <w:rsid w:val="00C70600"/>
    <w:rPr>
      <w:rFonts w:cstheme="minorHAnsi"/>
      <w:b/>
      <w:bCs/>
      <w:color w:val="000000"/>
      <w:sz w:val="36"/>
      <w:szCs w:val="36"/>
      <w:lang w:val="en-US"/>
    </w:rPr>
  </w:style>
  <w:style w:type="character" w:customStyle="1" w:styleId="Heading2Char">
    <w:name w:val="Heading 2 Char"/>
    <w:basedOn w:val="DefaultParagraphFont"/>
    <w:link w:val="Heading2"/>
    <w:uiPriority w:val="9"/>
    <w:rsid w:val="00C70600"/>
    <w:rPr>
      <w:rFonts w:ascii="Arial Bold" w:eastAsiaTheme="majorEastAsia" w:hAnsi="Arial Bold" w:cstheme="majorBidi"/>
      <w:b/>
      <w:bCs/>
      <w:iCs/>
      <w:sz w:val="28"/>
      <w:szCs w:val="28"/>
      <w:lang w:eastAsia="en-IN"/>
    </w:rPr>
  </w:style>
  <w:style w:type="paragraph" w:styleId="Title">
    <w:name w:val="Title"/>
    <w:basedOn w:val="Heading1"/>
    <w:next w:val="Normal"/>
    <w:link w:val="TitleChar"/>
    <w:uiPriority w:val="10"/>
    <w:qFormat/>
    <w:rsid w:val="005E5E34"/>
    <w:pPr>
      <w:spacing w:before="480"/>
      <w:outlineLvl w:val="9"/>
    </w:pPr>
    <w:rPr>
      <w:b w:val="0"/>
      <w:color w:val="00685C"/>
      <w:sz w:val="48"/>
    </w:rPr>
  </w:style>
  <w:style w:type="character" w:customStyle="1" w:styleId="TitleChar">
    <w:name w:val="Title Char"/>
    <w:basedOn w:val="DefaultParagraphFont"/>
    <w:link w:val="Title"/>
    <w:uiPriority w:val="10"/>
    <w:rsid w:val="005E5E34"/>
    <w:rPr>
      <w:rFonts w:cstheme="minorHAnsi"/>
      <w:bCs/>
      <w:color w:val="00685C"/>
      <w:sz w:val="48"/>
      <w:szCs w:val="36"/>
      <w:lang w:val="en-US"/>
    </w:rPr>
  </w:style>
  <w:style w:type="paragraph" w:styleId="Subtitle">
    <w:name w:val="Subtitle"/>
    <w:basedOn w:val="Heading1"/>
    <w:next w:val="Normal"/>
    <w:link w:val="SubtitleChar"/>
    <w:uiPriority w:val="11"/>
    <w:qFormat/>
    <w:rsid w:val="005E5E34"/>
    <w:pPr>
      <w:outlineLvl w:val="9"/>
    </w:pPr>
    <w:rPr>
      <w:b w:val="0"/>
      <w:color w:val="000000" w:themeColor="text1"/>
    </w:rPr>
  </w:style>
  <w:style w:type="character" w:customStyle="1" w:styleId="SubtitleChar">
    <w:name w:val="Subtitle Char"/>
    <w:basedOn w:val="DefaultParagraphFont"/>
    <w:link w:val="Subtitle"/>
    <w:uiPriority w:val="11"/>
    <w:rsid w:val="005E5E34"/>
    <w:rPr>
      <w:rFonts w:cstheme="minorHAnsi"/>
      <w:bCs/>
      <w:color w:val="000000" w:themeColor="text1"/>
      <w:sz w:val="36"/>
      <w:szCs w:val="36"/>
      <w:lang w:val="en-US"/>
    </w:rPr>
  </w:style>
  <w:style w:type="character" w:styleId="CommentReference">
    <w:name w:val="annotation reference"/>
    <w:basedOn w:val="DefaultParagraphFont"/>
    <w:uiPriority w:val="99"/>
    <w:semiHidden/>
    <w:unhideWhenUsed/>
    <w:rsid w:val="001A5DC3"/>
    <w:rPr>
      <w:sz w:val="16"/>
      <w:szCs w:val="16"/>
    </w:rPr>
  </w:style>
  <w:style w:type="paragraph" w:styleId="CommentText">
    <w:name w:val="annotation text"/>
    <w:basedOn w:val="Normal"/>
    <w:link w:val="CommentTextChar"/>
    <w:uiPriority w:val="99"/>
    <w:semiHidden/>
    <w:unhideWhenUsed/>
    <w:rsid w:val="001A5DC3"/>
    <w:rPr>
      <w:sz w:val="20"/>
      <w:szCs w:val="20"/>
    </w:rPr>
  </w:style>
  <w:style w:type="character" w:customStyle="1" w:styleId="CommentTextChar">
    <w:name w:val="Comment Text Char"/>
    <w:basedOn w:val="DefaultParagraphFont"/>
    <w:link w:val="CommentText"/>
    <w:uiPriority w:val="99"/>
    <w:semiHidden/>
    <w:rsid w:val="001A5DC3"/>
    <w:rPr>
      <w:rFonts w:ascii="Helvetica LT Std Light" w:hAnsi="Helvetica LT Std Light" w:cs="Helvetica LT Std Light"/>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A5DC3"/>
    <w:rPr>
      <w:b/>
      <w:bCs/>
    </w:rPr>
  </w:style>
  <w:style w:type="character" w:customStyle="1" w:styleId="CommentSubjectChar">
    <w:name w:val="Comment Subject Char"/>
    <w:basedOn w:val="CommentTextChar"/>
    <w:link w:val="CommentSubject"/>
    <w:uiPriority w:val="99"/>
    <w:semiHidden/>
    <w:rsid w:val="001A5DC3"/>
    <w:rPr>
      <w:rFonts w:ascii="Helvetica LT Std Light" w:hAnsi="Helvetica LT Std Light" w:cs="Helvetica LT Std Light"/>
      <w:b/>
      <w:bCs/>
      <w:color w:val="000000"/>
      <w:sz w:val="20"/>
      <w:szCs w:val="20"/>
      <w:lang w:val="en-US"/>
    </w:rPr>
  </w:style>
  <w:style w:type="paragraph" w:styleId="FootnoteText">
    <w:name w:val="footnote text"/>
    <w:basedOn w:val="Normal"/>
    <w:link w:val="FootnoteTextChar"/>
    <w:uiPriority w:val="99"/>
    <w:semiHidden/>
    <w:unhideWhenUsed/>
    <w:rsid w:val="00B756DD"/>
    <w:pPr>
      <w:spacing w:after="0"/>
    </w:pPr>
    <w:rPr>
      <w:sz w:val="20"/>
      <w:szCs w:val="20"/>
    </w:rPr>
  </w:style>
  <w:style w:type="character" w:customStyle="1" w:styleId="FootnoteTextChar">
    <w:name w:val="Footnote Text Char"/>
    <w:basedOn w:val="DefaultParagraphFont"/>
    <w:link w:val="FootnoteText"/>
    <w:uiPriority w:val="99"/>
    <w:semiHidden/>
    <w:rsid w:val="00B756DD"/>
    <w:rPr>
      <w:rFonts w:ascii="Helvetica LT Std Light" w:hAnsi="Helvetica LT Std Light" w:cs="Helvetica LT Std Light"/>
      <w:color w:val="000000"/>
      <w:sz w:val="20"/>
      <w:szCs w:val="20"/>
      <w:lang w:val="en-US"/>
    </w:rPr>
  </w:style>
  <w:style w:type="character" w:styleId="FootnoteReference">
    <w:name w:val="footnote reference"/>
    <w:basedOn w:val="DefaultParagraphFont"/>
    <w:uiPriority w:val="99"/>
    <w:semiHidden/>
    <w:unhideWhenUsed/>
    <w:rsid w:val="00B756DD"/>
    <w:rPr>
      <w:vertAlign w:val="superscript"/>
    </w:rPr>
  </w:style>
  <w:style w:type="character" w:styleId="Hyperlink">
    <w:name w:val="Hyperlink"/>
    <w:basedOn w:val="DefaultParagraphFont"/>
    <w:uiPriority w:val="99"/>
    <w:unhideWhenUsed/>
    <w:rsid w:val="003F12E8"/>
    <w:rPr>
      <w:color w:val="0563C1" w:themeColor="hyperlink"/>
      <w:u w:val="single"/>
    </w:rPr>
  </w:style>
  <w:style w:type="character" w:styleId="FollowedHyperlink">
    <w:name w:val="FollowedHyperlink"/>
    <w:basedOn w:val="DefaultParagraphFont"/>
    <w:uiPriority w:val="99"/>
    <w:semiHidden/>
    <w:unhideWhenUsed/>
    <w:rsid w:val="003419FE"/>
    <w:rPr>
      <w:color w:val="954F72" w:themeColor="followedHyperlink"/>
      <w:u w:val="single"/>
    </w:rPr>
  </w:style>
  <w:style w:type="paragraph" w:styleId="Revision">
    <w:name w:val="Revision"/>
    <w:hidden/>
    <w:uiPriority w:val="99"/>
    <w:semiHidden/>
    <w:rsid w:val="00B05896"/>
    <w:rPr>
      <w:rFonts w:ascii="Helvetica LT Std Light" w:hAnsi="Helvetica LT Std Light" w:cs="Helvetica LT Std Light"/>
      <w:color w:val="000000"/>
      <w:sz w:val="18"/>
      <w:szCs w:val="18"/>
      <w:lang w:val="en-US"/>
    </w:rPr>
  </w:style>
  <w:style w:type="character" w:styleId="Strong">
    <w:name w:val="Strong"/>
    <w:basedOn w:val="DefaultParagraphFont"/>
    <w:uiPriority w:val="22"/>
    <w:qFormat/>
    <w:rsid w:val="00C83CF7"/>
    <w:rPr>
      <w:b/>
      <w:bCs/>
    </w:rPr>
  </w:style>
  <w:style w:type="character" w:customStyle="1" w:styleId="Heading3Char">
    <w:name w:val="Heading 3 Char"/>
    <w:basedOn w:val="DefaultParagraphFont"/>
    <w:link w:val="Heading3"/>
    <w:uiPriority w:val="9"/>
    <w:rsid w:val="00241E34"/>
    <w:rPr>
      <w:rFonts w:asciiTheme="majorHAnsi" w:eastAsiaTheme="majorEastAsia" w:hAnsiTheme="majorHAnsi" w:cstheme="majorBidi"/>
      <w:color w:val="1F3763"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396698">
      <w:bodyDiv w:val="1"/>
      <w:marLeft w:val="0"/>
      <w:marRight w:val="0"/>
      <w:marTop w:val="0"/>
      <w:marBottom w:val="0"/>
      <w:divBdr>
        <w:top w:val="none" w:sz="0" w:space="0" w:color="auto"/>
        <w:left w:val="none" w:sz="0" w:space="0" w:color="auto"/>
        <w:bottom w:val="none" w:sz="0" w:space="0" w:color="auto"/>
        <w:right w:val="none" w:sz="0" w:space="0" w:color="auto"/>
      </w:divBdr>
    </w:div>
    <w:div w:id="680595518">
      <w:bodyDiv w:val="1"/>
      <w:marLeft w:val="0"/>
      <w:marRight w:val="0"/>
      <w:marTop w:val="0"/>
      <w:marBottom w:val="0"/>
      <w:divBdr>
        <w:top w:val="none" w:sz="0" w:space="0" w:color="auto"/>
        <w:left w:val="none" w:sz="0" w:space="0" w:color="auto"/>
        <w:bottom w:val="none" w:sz="0" w:space="0" w:color="auto"/>
        <w:right w:val="none" w:sz="0" w:space="0" w:color="auto"/>
      </w:divBdr>
    </w:div>
    <w:div w:id="893277747">
      <w:bodyDiv w:val="1"/>
      <w:marLeft w:val="0"/>
      <w:marRight w:val="0"/>
      <w:marTop w:val="0"/>
      <w:marBottom w:val="0"/>
      <w:divBdr>
        <w:top w:val="none" w:sz="0" w:space="0" w:color="auto"/>
        <w:left w:val="none" w:sz="0" w:space="0" w:color="auto"/>
        <w:bottom w:val="none" w:sz="0" w:space="0" w:color="auto"/>
        <w:right w:val="none" w:sz="0" w:space="0" w:color="auto"/>
      </w:divBdr>
    </w:div>
    <w:div w:id="1826966884">
      <w:bodyDiv w:val="1"/>
      <w:marLeft w:val="0"/>
      <w:marRight w:val="0"/>
      <w:marTop w:val="0"/>
      <w:marBottom w:val="0"/>
      <w:divBdr>
        <w:top w:val="none" w:sz="0" w:space="0" w:color="auto"/>
        <w:left w:val="none" w:sz="0" w:space="0" w:color="auto"/>
        <w:bottom w:val="none" w:sz="0" w:space="0" w:color="auto"/>
        <w:right w:val="none" w:sz="0" w:space="0" w:color="auto"/>
      </w:divBdr>
    </w:div>
    <w:div w:id="19048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21" ma:contentTypeDescription="Create a new document." ma:contentTypeScope="" ma:versionID="49fa7757e6726fda11e78d34f74dfb5d">
  <xsd:schema xmlns:xsd="http://www.w3.org/2001/XMLSchema" xmlns:xs="http://www.w3.org/2001/XMLSchema" xmlns:p="http://schemas.microsoft.com/office/2006/metadata/properties" xmlns:ns2="dcf7b372-aaaa-46d8-9da6-ade9aab953df" xmlns:ns3="236487dd-ec90-4f99-8970-1318e5f29791" targetNamespace="http://schemas.microsoft.com/office/2006/metadata/properties" ma:root="true" ma:fieldsID="d87a37fdcbbf7bed00bd15239a901d05" ns2:_="" ns3:_="">
    <xsd:import namespace="dcf7b372-aaaa-46d8-9da6-ade9aab953df"/>
    <xsd:import namespace="236487dd-ec90-4f99-8970-1318e5f297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Reviewer"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Reviewer xmlns="dcf7b372-aaaa-46d8-9da6-ade9aab953df" xsi:nil="true"/>
    <_Flow_SignoffStatus xmlns="dcf7b372-aaaa-46d8-9da6-ade9aab953df" xsi:nil="true"/>
  </documentManagement>
</p:properties>
</file>

<file path=customXml/itemProps1.xml><?xml version="1.0" encoding="utf-8"?>
<ds:datastoreItem xmlns:ds="http://schemas.openxmlformats.org/officeDocument/2006/customXml" ds:itemID="{112C21C8-0F83-4146-891C-1F1879A37E35}">
  <ds:schemaRefs>
    <ds:schemaRef ds:uri="http://schemas.openxmlformats.org/officeDocument/2006/bibliography"/>
  </ds:schemaRefs>
</ds:datastoreItem>
</file>

<file path=customXml/itemProps2.xml><?xml version="1.0" encoding="utf-8"?>
<ds:datastoreItem xmlns:ds="http://schemas.openxmlformats.org/officeDocument/2006/customXml" ds:itemID="{57D9E310-B79B-499C-A841-F44B1272B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7b372-aaaa-46d8-9da6-ade9aab953df"/>
    <ds:schemaRef ds:uri="236487dd-ec90-4f99-8970-1318e5f29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E0DA4-2E4B-41AD-BD9E-BECADC176347}">
  <ds:schemaRefs>
    <ds:schemaRef ds:uri="http://schemas.microsoft.com/sharepoint/v3/contenttype/forms"/>
  </ds:schemaRefs>
</ds:datastoreItem>
</file>

<file path=customXml/itemProps4.xml><?xml version="1.0" encoding="utf-8"?>
<ds:datastoreItem xmlns:ds="http://schemas.openxmlformats.org/officeDocument/2006/customXml" ds:itemID="{D596AE09-2F35-4B24-A9AE-69A56F4B0577}">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236487dd-ec90-4f99-8970-1318e5f29791"/>
    <ds:schemaRef ds:uri="dcf7b372-aaaa-46d8-9da6-ade9aab953d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Legislative and Governance Forum on Gene Technology Forum Action Plan 2018–2023</vt:lpstr>
    </vt:vector>
  </TitlesOfParts>
  <Company/>
  <LinksUpToDate>false</LinksUpToDate>
  <CharactersWithSpaces>14410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review – Updated action plan 2020–2023</dc:title>
  <dc:subject>Gene technology</dc:subject>
  <dc:creator>National Gene Technology Scheme</dc:creator>
  <cp:keywords>NGTS; Third review</cp:keywords>
  <cp:lastModifiedBy>MCCAY, Meryl</cp:lastModifiedBy>
  <cp:revision>4</cp:revision>
  <cp:lastPrinted>2021-07-26T02:28:00Z</cp:lastPrinted>
  <dcterms:created xsi:type="dcterms:W3CDTF">2021-08-10T06:34:00Z</dcterms:created>
  <dcterms:modified xsi:type="dcterms:W3CDTF">2022-02-14T06:42:00Z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0x010100BA217076F0871349BCBE5A6EC7EEC4B3</vt:lpwstr>
  </property>
</Properties>
</file>